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24497" w14:textId="77777777" w:rsidR="00854A3E" w:rsidRPr="00D9432C" w:rsidRDefault="00854A3E" w:rsidP="00D9432C"/>
    <w:p w14:paraId="6F6E416D" w14:textId="77777777" w:rsidR="00854A3E" w:rsidRPr="00AA47AC" w:rsidRDefault="00854A3E" w:rsidP="008D3919">
      <w:pPr>
        <w:pStyle w:val="BodyText"/>
        <w:rPr>
          <w:rFonts w:ascii="Times New Roman" w:hAnsi="Times New Roman" w:cs="Times New Roman"/>
        </w:rPr>
      </w:pPr>
    </w:p>
    <w:p w14:paraId="73D0D400" w14:textId="77777777" w:rsidR="00854A3E" w:rsidRPr="00AA47AC" w:rsidRDefault="00854A3E" w:rsidP="008D3919">
      <w:pPr>
        <w:pStyle w:val="BodyText"/>
        <w:rPr>
          <w:rFonts w:ascii="Times New Roman" w:hAnsi="Times New Roman" w:cs="Times New Roman"/>
        </w:rPr>
      </w:pPr>
    </w:p>
    <w:p w14:paraId="2D62094D" w14:textId="77777777" w:rsidR="00854A3E" w:rsidRPr="00AA47AC" w:rsidRDefault="00854A3E" w:rsidP="008D3919">
      <w:pPr>
        <w:pStyle w:val="BodyText"/>
        <w:rPr>
          <w:rFonts w:ascii="Times New Roman" w:hAnsi="Times New Roman" w:cs="Times New Roman"/>
        </w:rPr>
      </w:pPr>
    </w:p>
    <w:p w14:paraId="250B87D8" w14:textId="77777777" w:rsidR="00854A3E" w:rsidRPr="00AA47AC" w:rsidRDefault="00854A3E" w:rsidP="008D3919">
      <w:pPr>
        <w:pStyle w:val="BodyText"/>
        <w:rPr>
          <w:rFonts w:ascii="Times New Roman" w:hAnsi="Times New Roman" w:cs="Times New Roman"/>
        </w:rPr>
      </w:pPr>
    </w:p>
    <w:p w14:paraId="46673E23" w14:textId="77777777" w:rsidR="00854A3E" w:rsidRPr="00AA47AC" w:rsidRDefault="00854A3E" w:rsidP="008D3919">
      <w:pPr>
        <w:pStyle w:val="BodyText"/>
        <w:rPr>
          <w:rFonts w:ascii="Times New Roman" w:hAnsi="Times New Roman" w:cs="Times New Roman"/>
        </w:rPr>
      </w:pPr>
    </w:p>
    <w:p w14:paraId="01C7A84C" w14:textId="77777777" w:rsidR="00854A3E" w:rsidRPr="00AA47AC" w:rsidRDefault="00854A3E" w:rsidP="008D3919">
      <w:pPr>
        <w:pStyle w:val="BodyText"/>
        <w:rPr>
          <w:rFonts w:ascii="Times New Roman" w:hAnsi="Times New Roman" w:cs="Times New Roman"/>
        </w:rPr>
      </w:pPr>
    </w:p>
    <w:p w14:paraId="63902E72" w14:textId="77777777" w:rsidR="00854A3E" w:rsidRPr="00AA47AC" w:rsidRDefault="00854A3E" w:rsidP="008D3919">
      <w:pPr>
        <w:pStyle w:val="BodyText"/>
        <w:rPr>
          <w:rFonts w:ascii="Times New Roman" w:hAnsi="Times New Roman" w:cs="Times New Roman"/>
        </w:rPr>
      </w:pPr>
    </w:p>
    <w:p w14:paraId="707CFCBC" w14:textId="77777777" w:rsidR="00854A3E" w:rsidRPr="00AA47AC" w:rsidRDefault="00854A3E" w:rsidP="008D3919">
      <w:pPr>
        <w:pStyle w:val="BodyText"/>
        <w:rPr>
          <w:rFonts w:ascii="Times New Roman" w:hAnsi="Times New Roman" w:cs="Times New Roman"/>
        </w:rPr>
      </w:pPr>
    </w:p>
    <w:p w14:paraId="05F8A672" w14:textId="77777777" w:rsidR="00854A3E" w:rsidRPr="00AA47AC" w:rsidRDefault="00854A3E" w:rsidP="008D3919">
      <w:pPr>
        <w:pStyle w:val="BodyText"/>
        <w:rPr>
          <w:rFonts w:ascii="Times New Roman" w:hAnsi="Times New Roman" w:cs="Times New Roman"/>
        </w:rPr>
      </w:pPr>
    </w:p>
    <w:p w14:paraId="2F16177E" w14:textId="77777777" w:rsidR="00854A3E" w:rsidRPr="00AA47AC" w:rsidRDefault="00854A3E" w:rsidP="008D3919">
      <w:pPr>
        <w:pStyle w:val="BodyText"/>
        <w:rPr>
          <w:rFonts w:ascii="Times New Roman" w:hAnsi="Times New Roman" w:cs="Times New Roman"/>
        </w:rPr>
      </w:pPr>
    </w:p>
    <w:p w14:paraId="7D8FF976" w14:textId="77777777" w:rsidR="00854A3E" w:rsidRPr="00AA47AC" w:rsidRDefault="00854A3E" w:rsidP="008D3919">
      <w:pPr>
        <w:pStyle w:val="BodyText"/>
        <w:rPr>
          <w:rFonts w:ascii="Times New Roman" w:hAnsi="Times New Roman" w:cs="Times New Roman"/>
          <w:sz w:val="32"/>
          <w:szCs w:val="32"/>
        </w:rPr>
      </w:pPr>
    </w:p>
    <w:p w14:paraId="17622904" w14:textId="77777777" w:rsidR="00854A3E" w:rsidRPr="00AA47AC" w:rsidRDefault="00795907" w:rsidP="008D3919">
      <w:pPr>
        <w:spacing w:before="215"/>
        <w:ind w:left="985" w:right="1326"/>
        <w:jc w:val="center"/>
        <w:rPr>
          <w:rFonts w:ascii="Times New Roman" w:hAnsi="Times New Roman" w:cs="Times New Roman"/>
          <w:b/>
          <w:sz w:val="40"/>
          <w:szCs w:val="40"/>
        </w:rPr>
      </w:pPr>
      <w:r w:rsidRPr="00AA47AC">
        <w:rPr>
          <w:rFonts w:ascii="Times New Roman" w:hAnsi="Times New Roman" w:cs="Times New Roman"/>
          <w:b/>
          <w:sz w:val="40"/>
          <w:szCs w:val="40"/>
          <w:u w:val="thick"/>
        </w:rPr>
        <w:t>ACCOUNTING POLICY</w:t>
      </w:r>
    </w:p>
    <w:p w14:paraId="2BCC4FC0" w14:textId="77777777" w:rsidR="00854A3E" w:rsidRPr="00AA47AC" w:rsidRDefault="00854A3E" w:rsidP="008D3919">
      <w:pPr>
        <w:pStyle w:val="BodyText"/>
        <w:rPr>
          <w:rFonts w:ascii="Times New Roman" w:hAnsi="Times New Roman" w:cs="Times New Roman"/>
          <w:b/>
        </w:rPr>
      </w:pPr>
    </w:p>
    <w:p w14:paraId="581C55A9" w14:textId="77777777" w:rsidR="00854A3E" w:rsidRPr="00AA47AC" w:rsidRDefault="00854A3E" w:rsidP="008D3919">
      <w:pPr>
        <w:pStyle w:val="BodyText"/>
        <w:rPr>
          <w:rFonts w:ascii="Times New Roman" w:hAnsi="Times New Roman" w:cs="Times New Roman"/>
          <w:b/>
        </w:rPr>
      </w:pPr>
    </w:p>
    <w:p w14:paraId="520F1739" w14:textId="77777777" w:rsidR="00854A3E" w:rsidRPr="00AA47AC" w:rsidRDefault="00795907" w:rsidP="008D3919">
      <w:pPr>
        <w:pStyle w:val="BodyText"/>
        <w:rPr>
          <w:rFonts w:ascii="Times New Roman" w:hAnsi="Times New Roman" w:cs="Times New Roman"/>
          <w:b/>
        </w:rPr>
      </w:pPr>
      <w:r w:rsidRPr="00AA47AC">
        <w:rPr>
          <w:rFonts w:ascii="Times New Roman" w:hAnsi="Times New Roman" w:cs="Times New Roman"/>
          <w:noProof/>
          <w:lang w:bidi="ar-SA"/>
        </w:rPr>
        <w:drawing>
          <wp:anchor distT="0" distB="0" distL="0" distR="0" simplePos="0" relativeHeight="251658240" behindDoc="0" locked="0" layoutInCell="1" allowOverlap="1" wp14:anchorId="7D1BDCE7" wp14:editId="30F681CE">
            <wp:simplePos x="0" y="0"/>
            <wp:positionH relativeFrom="page">
              <wp:posOffset>3335020</wp:posOffset>
            </wp:positionH>
            <wp:positionV relativeFrom="paragraph">
              <wp:posOffset>190686</wp:posOffset>
            </wp:positionV>
            <wp:extent cx="1070438" cy="14478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70438" cy="1447800"/>
                    </a:xfrm>
                    <a:prstGeom prst="rect">
                      <a:avLst/>
                    </a:prstGeom>
                  </pic:spPr>
                </pic:pic>
              </a:graphicData>
            </a:graphic>
          </wp:anchor>
        </w:drawing>
      </w:r>
    </w:p>
    <w:p w14:paraId="27FAD5F4" w14:textId="77777777" w:rsidR="00854A3E" w:rsidRPr="00AA47AC" w:rsidRDefault="00854A3E" w:rsidP="008D3919">
      <w:pPr>
        <w:pStyle w:val="BodyText"/>
        <w:rPr>
          <w:rFonts w:ascii="Times New Roman" w:hAnsi="Times New Roman" w:cs="Times New Roman"/>
          <w:b/>
        </w:rPr>
      </w:pPr>
    </w:p>
    <w:p w14:paraId="5CEEA8DD" w14:textId="77777777" w:rsidR="00854A3E" w:rsidRPr="00AA47AC" w:rsidRDefault="00854A3E" w:rsidP="008D3919">
      <w:pPr>
        <w:pStyle w:val="BodyText"/>
        <w:rPr>
          <w:rFonts w:ascii="Times New Roman" w:hAnsi="Times New Roman" w:cs="Times New Roman"/>
          <w:b/>
          <w:sz w:val="28"/>
          <w:szCs w:val="28"/>
        </w:rPr>
      </w:pPr>
    </w:p>
    <w:p w14:paraId="4AD0FB1B" w14:textId="2F0A30F5" w:rsidR="00854A3E" w:rsidRPr="00AA47AC" w:rsidRDefault="00773DB7" w:rsidP="00773DB7">
      <w:pPr>
        <w:spacing w:before="249"/>
        <w:ind w:left="1673" w:right="1160"/>
        <w:rPr>
          <w:rFonts w:ascii="Times New Roman" w:hAnsi="Times New Roman" w:cs="Times New Roman"/>
          <w:b/>
          <w:sz w:val="40"/>
          <w:szCs w:val="40"/>
        </w:rPr>
      </w:pPr>
      <w:r>
        <w:rPr>
          <w:rFonts w:ascii="Times New Roman" w:hAnsi="Times New Roman" w:cs="Times New Roman"/>
          <w:b/>
          <w:sz w:val="40"/>
          <w:szCs w:val="40"/>
        </w:rPr>
        <w:t xml:space="preserve">       </w:t>
      </w:r>
      <w:r w:rsidR="002961CC">
        <w:rPr>
          <w:rFonts w:ascii="Times New Roman" w:hAnsi="Times New Roman" w:cs="Times New Roman"/>
          <w:b/>
          <w:sz w:val="40"/>
          <w:szCs w:val="40"/>
        </w:rPr>
        <w:t xml:space="preserve">INDIA FINSEC </w:t>
      </w:r>
      <w:r w:rsidR="00795907" w:rsidRPr="00AA47AC">
        <w:rPr>
          <w:rFonts w:ascii="Times New Roman" w:hAnsi="Times New Roman" w:cs="Times New Roman"/>
          <w:b/>
          <w:sz w:val="40"/>
          <w:szCs w:val="40"/>
        </w:rPr>
        <w:t>LIMITED</w:t>
      </w:r>
    </w:p>
    <w:p w14:paraId="3D303B46" w14:textId="77777777" w:rsidR="00854A3E" w:rsidRDefault="00854A3E" w:rsidP="008D3919">
      <w:pPr>
        <w:jc w:val="center"/>
        <w:rPr>
          <w:rFonts w:ascii="Times New Roman" w:hAnsi="Times New Roman" w:cs="Times New Roman"/>
        </w:rPr>
      </w:pPr>
    </w:p>
    <w:p w14:paraId="56DAD895" w14:textId="77777777" w:rsidR="00967FD3" w:rsidRDefault="00967FD3" w:rsidP="008D3919">
      <w:pPr>
        <w:jc w:val="center"/>
        <w:rPr>
          <w:rFonts w:ascii="Times New Roman" w:hAnsi="Times New Roman" w:cs="Times New Roman"/>
        </w:rPr>
      </w:pPr>
    </w:p>
    <w:p w14:paraId="1C04007B" w14:textId="77777777" w:rsidR="00967FD3" w:rsidRDefault="00967FD3" w:rsidP="008D3919">
      <w:pPr>
        <w:jc w:val="center"/>
        <w:rPr>
          <w:rFonts w:ascii="Times New Roman" w:hAnsi="Times New Roman" w:cs="Times New Roman"/>
        </w:rPr>
      </w:pPr>
    </w:p>
    <w:p w14:paraId="0C12FCB6" w14:textId="77777777" w:rsidR="00967FD3" w:rsidRDefault="00967FD3" w:rsidP="008D3919">
      <w:pPr>
        <w:jc w:val="center"/>
        <w:rPr>
          <w:rFonts w:ascii="Times New Roman" w:hAnsi="Times New Roman" w:cs="Times New Roman"/>
        </w:rPr>
      </w:pPr>
    </w:p>
    <w:p w14:paraId="6A118FB5" w14:textId="77777777" w:rsidR="00967FD3" w:rsidRDefault="00967FD3" w:rsidP="008D3919">
      <w:pPr>
        <w:jc w:val="center"/>
        <w:rPr>
          <w:rFonts w:ascii="Times New Roman" w:hAnsi="Times New Roman" w:cs="Times New Roman"/>
        </w:rPr>
      </w:pPr>
    </w:p>
    <w:p w14:paraId="5BB57E71" w14:textId="77777777" w:rsidR="00967FD3" w:rsidRDefault="00967FD3" w:rsidP="008D3919">
      <w:pPr>
        <w:jc w:val="center"/>
        <w:rPr>
          <w:rFonts w:ascii="Times New Roman" w:hAnsi="Times New Roman" w:cs="Times New Roman"/>
        </w:rPr>
      </w:pPr>
    </w:p>
    <w:p w14:paraId="669A7FEE" w14:textId="77777777" w:rsidR="00967FD3" w:rsidRDefault="00967FD3" w:rsidP="008D3919">
      <w:pPr>
        <w:jc w:val="center"/>
        <w:rPr>
          <w:rFonts w:ascii="Times New Roman" w:hAnsi="Times New Roman" w:cs="Times New Roman"/>
        </w:rPr>
      </w:pPr>
    </w:p>
    <w:p w14:paraId="5EF87A35" w14:textId="77777777" w:rsidR="00967FD3" w:rsidRDefault="00967FD3" w:rsidP="008D3919">
      <w:pPr>
        <w:jc w:val="center"/>
        <w:rPr>
          <w:rFonts w:ascii="Times New Roman" w:hAnsi="Times New Roman" w:cs="Times New Roman"/>
        </w:rPr>
      </w:pPr>
    </w:p>
    <w:p w14:paraId="3C778F53" w14:textId="4B4E5FF0" w:rsidR="00597957" w:rsidRPr="00AA47AC" w:rsidRDefault="00597957" w:rsidP="008D3919">
      <w:pPr>
        <w:jc w:val="center"/>
        <w:rPr>
          <w:rFonts w:ascii="Times New Roman" w:hAnsi="Times New Roman" w:cs="Times New Roman"/>
        </w:rPr>
        <w:sectPr w:rsidR="00597957" w:rsidRPr="00AA47AC" w:rsidSect="00A44BBD">
          <w:headerReference w:type="default" r:id="rId9"/>
          <w:footerReference w:type="default" r:id="rId10"/>
          <w:footerReference w:type="first" r:id="rId11"/>
          <w:type w:val="continuous"/>
          <w:pgSz w:w="11906" w:h="16838" w:code="9"/>
          <w:pgMar w:top="1500" w:right="1200" w:bottom="280" w:left="136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pPr>
    </w:p>
    <w:p w14:paraId="737EB156" w14:textId="77777777" w:rsidR="00597957" w:rsidRDefault="00597957" w:rsidP="00597957">
      <w:pPr>
        <w:pStyle w:val="Heading2"/>
        <w:tabs>
          <w:tab w:val="left" w:pos="270"/>
        </w:tabs>
        <w:spacing w:before="56"/>
        <w:ind w:left="360" w:firstLine="0"/>
        <w:rPr>
          <w:rFonts w:ascii="Times New Roman" w:hAnsi="Times New Roman" w:cs="Times New Roman"/>
          <w:sz w:val="24"/>
          <w:szCs w:val="24"/>
        </w:rPr>
      </w:pPr>
    </w:p>
    <w:p w14:paraId="59425505" w14:textId="77777777" w:rsidR="00597957" w:rsidRDefault="00597957" w:rsidP="00AD784F">
      <w:pPr>
        <w:pStyle w:val="Heading2"/>
        <w:tabs>
          <w:tab w:val="left" w:pos="270"/>
        </w:tabs>
        <w:spacing w:before="56"/>
        <w:ind w:left="0" w:firstLine="0"/>
        <w:rPr>
          <w:rFonts w:ascii="Times New Roman" w:hAnsi="Times New Roman" w:cs="Times New Roman"/>
          <w:sz w:val="24"/>
          <w:szCs w:val="24"/>
        </w:rPr>
      </w:pPr>
    </w:p>
    <w:p w14:paraId="5E66B418" w14:textId="2F54E014" w:rsidR="00854A3E" w:rsidRPr="00AA47AC" w:rsidRDefault="008459A1" w:rsidP="00597957">
      <w:pPr>
        <w:pStyle w:val="Heading2"/>
        <w:numPr>
          <w:ilvl w:val="0"/>
          <w:numId w:val="2"/>
        </w:numPr>
        <w:tabs>
          <w:tab w:val="left" w:pos="270"/>
        </w:tabs>
        <w:spacing w:before="56"/>
        <w:ind w:left="360"/>
        <w:rPr>
          <w:rFonts w:ascii="Times New Roman" w:hAnsi="Times New Roman" w:cs="Times New Roman"/>
          <w:sz w:val="24"/>
          <w:szCs w:val="24"/>
        </w:rPr>
      </w:pPr>
      <w:r w:rsidRPr="00AA47AC">
        <w:rPr>
          <w:rFonts w:ascii="Times New Roman" w:hAnsi="Times New Roman" w:cs="Times New Roman"/>
          <w:sz w:val="24"/>
          <w:szCs w:val="24"/>
        </w:rPr>
        <w:t>BASIS OF PREPARATION OF FINANCIAL</w:t>
      </w:r>
      <w:r w:rsidRPr="00AA47AC">
        <w:rPr>
          <w:rFonts w:ascii="Times New Roman" w:hAnsi="Times New Roman" w:cs="Times New Roman"/>
          <w:spacing w:val="-4"/>
          <w:sz w:val="24"/>
          <w:szCs w:val="24"/>
        </w:rPr>
        <w:t xml:space="preserve"> </w:t>
      </w:r>
      <w:r w:rsidRPr="00AA47AC">
        <w:rPr>
          <w:rFonts w:ascii="Times New Roman" w:hAnsi="Times New Roman" w:cs="Times New Roman"/>
          <w:sz w:val="24"/>
          <w:szCs w:val="24"/>
        </w:rPr>
        <w:t>STATEMENT</w:t>
      </w:r>
    </w:p>
    <w:p w14:paraId="2517E073" w14:textId="77777777" w:rsidR="00854A3E" w:rsidRPr="00AA47AC" w:rsidRDefault="00854A3E" w:rsidP="00AA47AC">
      <w:pPr>
        <w:pStyle w:val="BodyText"/>
        <w:tabs>
          <w:tab w:val="left" w:pos="270"/>
        </w:tabs>
        <w:spacing w:before="1"/>
        <w:ind w:left="360" w:hanging="360"/>
        <w:rPr>
          <w:rFonts w:ascii="Times New Roman" w:hAnsi="Times New Roman" w:cs="Times New Roman"/>
          <w:b/>
          <w:sz w:val="24"/>
          <w:szCs w:val="24"/>
        </w:rPr>
      </w:pPr>
    </w:p>
    <w:p w14:paraId="309DA8F6" w14:textId="1C5D8426" w:rsidR="001818D5" w:rsidRPr="00AA47AC" w:rsidRDefault="00AA47AC" w:rsidP="00AA47AC">
      <w:pPr>
        <w:pStyle w:val="BodyText"/>
        <w:tabs>
          <w:tab w:val="left" w:pos="270"/>
        </w:tabs>
        <w:ind w:left="270" w:right="117" w:hanging="360"/>
        <w:jc w:val="both"/>
        <w:rPr>
          <w:rFonts w:ascii="Times New Roman" w:hAnsi="Times New Roman" w:cs="Times New Roman"/>
          <w:sz w:val="24"/>
          <w:szCs w:val="24"/>
        </w:rPr>
      </w:pPr>
      <w:r>
        <w:rPr>
          <w:rFonts w:ascii="Times New Roman" w:hAnsi="Times New Roman" w:cs="Times New Roman"/>
          <w:sz w:val="24"/>
          <w:szCs w:val="24"/>
        </w:rPr>
        <w:tab/>
      </w:r>
      <w:r w:rsidR="00795907" w:rsidRPr="00AA47AC">
        <w:rPr>
          <w:rFonts w:ascii="Times New Roman" w:hAnsi="Times New Roman" w:cs="Times New Roman"/>
          <w:sz w:val="24"/>
          <w:szCs w:val="24"/>
        </w:rPr>
        <w:t>T</w:t>
      </w:r>
      <w:r w:rsidR="008D3C65">
        <w:rPr>
          <w:rFonts w:ascii="Times New Roman" w:hAnsi="Times New Roman" w:cs="Times New Roman"/>
          <w:sz w:val="24"/>
          <w:szCs w:val="24"/>
        </w:rPr>
        <w:t>he Financial Statements of the C</w:t>
      </w:r>
      <w:r w:rsidR="00795907" w:rsidRPr="00AA47AC">
        <w:rPr>
          <w:rFonts w:ascii="Times New Roman" w:hAnsi="Times New Roman" w:cs="Times New Roman"/>
          <w:sz w:val="24"/>
          <w:szCs w:val="24"/>
        </w:rPr>
        <w:t xml:space="preserve">ompany shall be prepared in accordance with </w:t>
      </w:r>
      <w:r w:rsidR="001818D5" w:rsidRPr="00AA47AC">
        <w:rPr>
          <w:rFonts w:ascii="Times New Roman" w:hAnsi="Times New Roman" w:cs="Times New Roman"/>
          <w:sz w:val="24"/>
          <w:szCs w:val="24"/>
        </w:rPr>
        <w:t>Indian Accounting Sta</w:t>
      </w:r>
      <w:r w:rsidR="008D3C65">
        <w:rPr>
          <w:rFonts w:ascii="Times New Roman" w:hAnsi="Times New Roman" w:cs="Times New Roman"/>
          <w:sz w:val="24"/>
          <w:szCs w:val="24"/>
        </w:rPr>
        <w:t>ndard (IND AS) specified under S</w:t>
      </w:r>
      <w:r w:rsidR="001818D5" w:rsidRPr="00AA47AC">
        <w:rPr>
          <w:rFonts w:ascii="Times New Roman" w:hAnsi="Times New Roman" w:cs="Times New Roman"/>
          <w:sz w:val="24"/>
          <w:szCs w:val="24"/>
        </w:rPr>
        <w:t>ection 133 of the Companies Act, 2013, read with Rule 3 of the Companies (Indian Accounting Standards) Rules, 2015</w:t>
      </w:r>
      <w:r w:rsidR="00795907" w:rsidRPr="00AA47AC">
        <w:rPr>
          <w:rFonts w:ascii="Times New Roman" w:hAnsi="Times New Roman" w:cs="Times New Roman"/>
          <w:sz w:val="24"/>
          <w:szCs w:val="24"/>
        </w:rPr>
        <w:t xml:space="preserve">. </w:t>
      </w:r>
      <w:r w:rsidR="001818D5" w:rsidRPr="00AA47AC">
        <w:rPr>
          <w:rFonts w:ascii="Times New Roman" w:hAnsi="Times New Roman" w:cs="Times New Roman"/>
          <w:sz w:val="24"/>
          <w:szCs w:val="24"/>
        </w:rPr>
        <w:t xml:space="preserve">This will be Company’s first financial statements </w:t>
      </w:r>
      <w:r w:rsidR="000229C2">
        <w:rPr>
          <w:rFonts w:ascii="Times New Roman" w:hAnsi="Times New Roman" w:cs="Times New Roman"/>
          <w:sz w:val="24"/>
          <w:szCs w:val="24"/>
        </w:rPr>
        <w:t xml:space="preserve">to be </w:t>
      </w:r>
      <w:r w:rsidR="001818D5" w:rsidRPr="00AA47AC">
        <w:rPr>
          <w:rFonts w:ascii="Times New Roman" w:hAnsi="Times New Roman" w:cs="Times New Roman"/>
          <w:sz w:val="24"/>
          <w:szCs w:val="24"/>
        </w:rPr>
        <w:t xml:space="preserve">prepared in accordance with Ind AS and </w:t>
      </w:r>
      <w:r w:rsidR="009D0B9A" w:rsidRPr="00AA47AC">
        <w:rPr>
          <w:rFonts w:ascii="Times New Roman" w:hAnsi="Times New Roman" w:cs="Times New Roman"/>
          <w:sz w:val="24"/>
          <w:szCs w:val="24"/>
        </w:rPr>
        <w:t xml:space="preserve">thus, </w:t>
      </w:r>
      <w:r w:rsidR="001818D5" w:rsidRPr="00AA47AC">
        <w:rPr>
          <w:rFonts w:ascii="Times New Roman" w:hAnsi="Times New Roman" w:cs="Times New Roman"/>
          <w:sz w:val="24"/>
          <w:szCs w:val="24"/>
        </w:rPr>
        <w:t xml:space="preserve">Ind AS 101 ‘First time adoption of Indian Accounting Standards’ shall be applicable. </w:t>
      </w:r>
    </w:p>
    <w:p w14:paraId="41E096D0" w14:textId="77777777" w:rsidR="001818D5" w:rsidRPr="00AA47AC" w:rsidRDefault="001818D5" w:rsidP="00AA47AC">
      <w:pPr>
        <w:pStyle w:val="BodyText"/>
        <w:tabs>
          <w:tab w:val="left" w:pos="270"/>
        </w:tabs>
        <w:ind w:left="270" w:right="117" w:hanging="360"/>
        <w:jc w:val="both"/>
        <w:rPr>
          <w:rFonts w:ascii="Times New Roman" w:hAnsi="Times New Roman" w:cs="Times New Roman"/>
          <w:sz w:val="24"/>
          <w:szCs w:val="24"/>
        </w:rPr>
      </w:pPr>
    </w:p>
    <w:p w14:paraId="200A6C8D" w14:textId="57B18D73" w:rsidR="00854A3E" w:rsidRPr="00AA47AC" w:rsidRDefault="00AA47AC" w:rsidP="00AA47AC">
      <w:pPr>
        <w:pStyle w:val="BodyText"/>
        <w:tabs>
          <w:tab w:val="left" w:pos="270"/>
        </w:tabs>
        <w:ind w:left="270" w:right="117" w:hanging="360"/>
        <w:jc w:val="both"/>
        <w:rPr>
          <w:rFonts w:ascii="Times New Roman" w:hAnsi="Times New Roman" w:cs="Times New Roman"/>
          <w:sz w:val="24"/>
          <w:szCs w:val="24"/>
        </w:rPr>
      </w:pPr>
      <w:r>
        <w:rPr>
          <w:rFonts w:ascii="Times New Roman" w:hAnsi="Times New Roman" w:cs="Times New Roman"/>
          <w:sz w:val="24"/>
          <w:szCs w:val="24"/>
        </w:rPr>
        <w:tab/>
      </w:r>
      <w:r w:rsidR="00795907" w:rsidRPr="00AA47AC">
        <w:rPr>
          <w:rFonts w:ascii="Times New Roman" w:hAnsi="Times New Roman" w:cs="Times New Roman"/>
          <w:sz w:val="24"/>
          <w:szCs w:val="24"/>
        </w:rPr>
        <w:t xml:space="preserve">The company </w:t>
      </w:r>
      <w:r w:rsidR="000229C2">
        <w:rPr>
          <w:rFonts w:ascii="Times New Roman" w:hAnsi="Times New Roman" w:cs="Times New Roman"/>
          <w:sz w:val="24"/>
          <w:szCs w:val="24"/>
        </w:rPr>
        <w:t>shall</w:t>
      </w:r>
      <w:r w:rsidR="00795907" w:rsidRPr="00AA47AC">
        <w:rPr>
          <w:rFonts w:ascii="Times New Roman" w:hAnsi="Times New Roman" w:cs="Times New Roman"/>
          <w:sz w:val="24"/>
          <w:szCs w:val="24"/>
        </w:rPr>
        <w:t xml:space="preserve"> prepar</w:t>
      </w:r>
      <w:r w:rsidR="001818D5" w:rsidRPr="00AA47AC">
        <w:rPr>
          <w:rFonts w:ascii="Times New Roman" w:hAnsi="Times New Roman" w:cs="Times New Roman"/>
          <w:sz w:val="24"/>
          <w:szCs w:val="24"/>
        </w:rPr>
        <w:t>e</w:t>
      </w:r>
      <w:r w:rsidR="00795907" w:rsidRPr="00AA47AC">
        <w:rPr>
          <w:rFonts w:ascii="Times New Roman" w:hAnsi="Times New Roman" w:cs="Times New Roman"/>
          <w:sz w:val="24"/>
          <w:szCs w:val="24"/>
        </w:rPr>
        <w:t xml:space="preserve"> Financial Statements to comply in all material respect with the </w:t>
      </w:r>
      <w:r w:rsidR="001818D5" w:rsidRPr="00AA47AC">
        <w:rPr>
          <w:rFonts w:ascii="Times New Roman" w:hAnsi="Times New Roman" w:cs="Times New Roman"/>
          <w:sz w:val="24"/>
          <w:szCs w:val="24"/>
        </w:rPr>
        <w:t>IND AS</w:t>
      </w:r>
      <w:r w:rsidR="00795907" w:rsidRPr="00AA47AC">
        <w:rPr>
          <w:rFonts w:ascii="Times New Roman" w:hAnsi="Times New Roman" w:cs="Times New Roman"/>
          <w:sz w:val="24"/>
          <w:szCs w:val="24"/>
        </w:rPr>
        <w:t>, (as amended) and the relevant provision of the companies Act, 2013.</w:t>
      </w:r>
      <w:r w:rsidR="000229C2">
        <w:rPr>
          <w:rFonts w:ascii="Times New Roman" w:hAnsi="Times New Roman" w:cs="Times New Roman"/>
          <w:sz w:val="24"/>
          <w:szCs w:val="24"/>
        </w:rPr>
        <w:t xml:space="preserve"> </w:t>
      </w:r>
      <w:r w:rsidR="00795907" w:rsidRPr="00AA47AC">
        <w:rPr>
          <w:rFonts w:ascii="Times New Roman" w:hAnsi="Times New Roman" w:cs="Times New Roman"/>
          <w:sz w:val="24"/>
          <w:szCs w:val="24"/>
        </w:rPr>
        <w:t>The Financial Statements shall be prepared on the accrual basis and under the historical cost convention.</w:t>
      </w:r>
    </w:p>
    <w:p w14:paraId="4AF32FB8" w14:textId="77777777" w:rsidR="00854A3E" w:rsidRPr="00AA47AC" w:rsidRDefault="00854A3E" w:rsidP="00AA47AC">
      <w:pPr>
        <w:pStyle w:val="BodyText"/>
        <w:tabs>
          <w:tab w:val="left" w:pos="270"/>
        </w:tabs>
        <w:ind w:left="360" w:hanging="360"/>
        <w:rPr>
          <w:rFonts w:ascii="Times New Roman" w:hAnsi="Times New Roman" w:cs="Times New Roman"/>
          <w:sz w:val="24"/>
          <w:szCs w:val="24"/>
        </w:rPr>
      </w:pPr>
    </w:p>
    <w:p w14:paraId="6E7A7F28" w14:textId="420F0987" w:rsidR="00854A3E" w:rsidRPr="00AA47AC" w:rsidRDefault="008459A1" w:rsidP="008459A1">
      <w:pPr>
        <w:pStyle w:val="Heading2"/>
        <w:numPr>
          <w:ilvl w:val="0"/>
          <w:numId w:val="2"/>
        </w:numPr>
        <w:tabs>
          <w:tab w:val="left" w:pos="270"/>
        </w:tabs>
        <w:ind w:left="270"/>
        <w:rPr>
          <w:rFonts w:ascii="Times New Roman" w:hAnsi="Times New Roman" w:cs="Times New Roman"/>
          <w:sz w:val="24"/>
          <w:szCs w:val="24"/>
        </w:rPr>
      </w:pPr>
      <w:r w:rsidRPr="00AA47AC">
        <w:rPr>
          <w:rFonts w:ascii="Times New Roman" w:hAnsi="Times New Roman" w:cs="Times New Roman"/>
          <w:sz w:val="24"/>
          <w:szCs w:val="24"/>
        </w:rPr>
        <w:t>SUMMARY OF SIGNIFICANT ACCOUNTING</w:t>
      </w:r>
      <w:r w:rsidRPr="00AA47AC">
        <w:rPr>
          <w:rFonts w:ascii="Times New Roman" w:hAnsi="Times New Roman" w:cs="Times New Roman"/>
          <w:spacing w:val="1"/>
          <w:sz w:val="24"/>
          <w:szCs w:val="24"/>
        </w:rPr>
        <w:t xml:space="preserve"> </w:t>
      </w:r>
      <w:r w:rsidRPr="00AA47AC">
        <w:rPr>
          <w:rFonts w:ascii="Times New Roman" w:hAnsi="Times New Roman" w:cs="Times New Roman"/>
          <w:sz w:val="24"/>
          <w:szCs w:val="24"/>
        </w:rPr>
        <w:t>POLICIES:</w:t>
      </w:r>
    </w:p>
    <w:p w14:paraId="6C6D0F26" w14:textId="77777777" w:rsidR="00854A3E" w:rsidRPr="00AA47AC" w:rsidRDefault="00854A3E" w:rsidP="00AA47AC">
      <w:pPr>
        <w:pStyle w:val="BodyText"/>
        <w:tabs>
          <w:tab w:val="left" w:pos="270"/>
        </w:tabs>
        <w:ind w:left="360" w:hanging="360"/>
        <w:rPr>
          <w:rFonts w:ascii="Times New Roman" w:hAnsi="Times New Roman" w:cs="Times New Roman"/>
          <w:b/>
          <w:sz w:val="24"/>
          <w:szCs w:val="24"/>
        </w:rPr>
      </w:pPr>
    </w:p>
    <w:p w14:paraId="2EEB1B1E" w14:textId="77777777" w:rsidR="00854A3E" w:rsidRPr="00AA47AC" w:rsidRDefault="00795907" w:rsidP="008459A1">
      <w:pPr>
        <w:pStyle w:val="ListParagraph"/>
        <w:numPr>
          <w:ilvl w:val="1"/>
          <w:numId w:val="2"/>
        </w:numPr>
        <w:tabs>
          <w:tab w:val="left" w:pos="270"/>
          <w:tab w:val="left" w:pos="868"/>
        </w:tabs>
        <w:ind w:left="360"/>
        <w:rPr>
          <w:rFonts w:ascii="Times New Roman" w:hAnsi="Times New Roman" w:cs="Times New Roman"/>
          <w:b/>
          <w:sz w:val="24"/>
          <w:szCs w:val="24"/>
        </w:rPr>
      </w:pPr>
      <w:r w:rsidRPr="00AA47AC">
        <w:rPr>
          <w:rFonts w:ascii="Times New Roman" w:hAnsi="Times New Roman" w:cs="Times New Roman"/>
          <w:b/>
          <w:sz w:val="24"/>
          <w:szCs w:val="24"/>
        </w:rPr>
        <w:t>Use of</w:t>
      </w:r>
      <w:r w:rsidRPr="00AA47AC">
        <w:rPr>
          <w:rFonts w:ascii="Times New Roman" w:hAnsi="Times New Roman" w:cs="Times New Roman"/>
          <w:b/>
          <w:spacing w:val="-2"/>
          <w:sz w:val="24"/>
          <w:szCs w:val="24"/>
        </w:rPr>
        <w:t xml:space="preserve"> </w:t>
      </w:r>
      <w:r w:rsidRPr="00AA47AC">
        <w:rPr>
          <w:rFonts w:ascii="Times New Roman" w:hAnsi="Times New Roman" w:cs="Times New Roman"/>
          <w:b/>
          <w:sz w:val="24"/>
          <w:szCs w:val="24"/>
        </w:rPr>
        <w:t>estimates</w:t>
      </w:r>
    </w:p>
    <w:p w14:paraId="0C7C208C" w14:textId="77777777" w:rsidR="00854A3E" w:rsidRPr="00AA47AC" w:rsidRDefault="00854A3E" w:rsidP="00AA47AC">
      <w:pPr>
        <w:pStyle w:val="BodyText"/>
        <w:tabs>
          <w:tab w:val="left" w:pos="270"/>
        </w:tabs>
        <w:spacing w:before="1"/>
        <w:ind w:left="360" w:hanging="360"/>
        <w:rPr>
          <w:rFonts w:ascii="Times New Roman" w:hAnsi="Times New Roman" w:cs="Times New Roman"/>
          <w:b/>
          <w:sz w:val="24"/>
          <w:szCs w:val="24"/>
        </w:rPr>
      </w:pPr>
    </w:p>
    <w:p w14:paraId="10F95BC0" w14:textId="6E5A8AE8" w:rsidR="00854A3E" w:rsidRPr="00AA47AC" w:rsidRDefault="00AA47AC" w:rsidP="00AA47AC">
      <w:pPr>
        <w:pStyle w:val="BodyText"/>
        <w:tabs>
          <w:tab w:val="left" w:pos="270"/>
        </w:tabs>
        <w:ind w:left="270" w:right="117" w:hanging="360"/>
        <w:jc w:val="both"/>
        <w:rPr>
          <w:rFonts w:ascii="Times New Roman" w:hAnsi="Times New Roman" w:cs="Times New Roman"/>
          <w:sz w:val="24"/>
          <w:szCs w:val="24"/>
        </w:rPr>
      </w:pPr>
      <w:r>
        <w:rPr>
          <w:rFonts w:ascii="Times New Roman" w:hAnsi="Times New Roman" w:cs="Times New Roman"/>
          <w:sz w:val="24"/>
          <w:szCs w:val="24"/>
        </w:rPr>
        <w:tab/>
      </w:r>
      <w:r w:rsidR="00795907" w:rsidRPr="00AA47AC">
        <w:rPr>
          <w:rFonts w:ascii="Times New Roman" w:hAnsi="Times New Roman" w:cs="Times New Roman"/>
          <w:sz w:val="24"/>
          <w:szCs w:val="24"/>
        </w:rPr>
        <w:t>The preparation of Financial Statements</w:t>
      </w:r>
      <w:r w:rsidR="009D0B9A" w:rsidRPr="00AA47AC">
        <w:rPr>
          <w:rFonts w:ascii="Times New Roman" w:hAnsi="Times New Roman" w:cs="Times New Roman"/>
          <w:sz w:val="24"/>
          <w:szCs w:val="24"/>
        </w:rPr>
        <w:t>,</w:t>
      </w:r>
      <w:r w:rsidR="00795907" w:rsidRPr="00AA47AC">
        <w:rPr>
          <w:rFonts w:ascii="Times New Roman" w:hAnsi="Times New Roman" w:cs="Times New Roman"/>
          <w:sz w:val="24"/>
          <w:szCs w:val="24"/>
        </w:rPr>
        <w:t xml:space="preserve"> </w:t>
      </w:r>
      <w:r w:rsidR="009D0B9A" w:rsidRPr="00AA47AC">
        <w:rPr>
          <w:rFonts w:ascii="Times New Roman" w:hAnsi="Times New Roman" w:cs="Times New Roman"/>
          <w:sz w:val="24"/>
          <w:szCs w:val="24"/>
        </w:rPr>
        <w:t xml:space="preserve">in </w:t>
      </w:r>
      <w:r w:rsidR="00795907" w:rsidRPr="00AA47AC">
        <w:rPr>
          <w:rFonts w:ascii="Times New Roman" w:hAnsi="Times New Roman" w:cs="Times New Roman"/>
          <w:sz w:val="24"/>
          <w:szCs w:val="24"/>
        </w:rPr>
        <w:t>conformity with I</w:t>
      </w:r>
      <w:r w:rsidR="001818D5" w:rsidRPr="00AA47AC">
        <w:rPr>
          <w:rFonts w:ascii="Times New Roman" w:hAnsi="Times New Roman" w:cs="Times New Roman"/>
          <w:sz w:val="24"/>
          <w:szCs w:val="24"/>
        </w:rPr>
        <w:t>ND AS</w:t>
      </w:r>
      <w:r w:rsidR="009D0B9A" w:rsidRPr="00AA47AC">
        <w:rPr>
          <w:rFonts w:ascii="Times New Roman" w:hAnsi="Times New Roman" w:cs="Times New Roman"/>
          <w:sz w:val="24"/>
          <w:szCs w:val="24"/>
        </w:rPr>
        <w:t>,</w:t>
      </w:r>
      <w:r w:rsidR="00795907" w:rsidRPr="00AA47AC">
        <w:rPr>
          <w:rFonts w:ascii="Times New Roman" w:hAnsi="Times New Roman" w:cs="Times New Roman"/>
          <w:sz w:val="24"/>
          <w:szCs w:val="24"/>
        </w:rPr>
        <w:t xml:space="preserve"> requires the management to make judgments, estimates and assumptions that affect the reported amounts of revenues, expenses, assets and liabilities and the disclosure of contingent liabilities, at the end of the reporting period. Although these estimates are based on the management's best knowledge of current event and actions, uncertainty about these assumptions and estimates could result in the outcomes requiring a material adjustment to the carrying amounts of assets or liabilities in future</w:t>
      </w:r>
      <w:r w:rsidR="00795907" w:rsidRPr="00AA47AC">
        <w:rPr>
          <w:rFonts w:ascii="Times New Roman" w:hAnsi="Times New Roman" w:cs="Times New Roman"/>
          <w:spacing w:val="-6"/>
          <w:sz w:val="24"/>
          <w:szCs w:val="24"/>
        </w:rPr>
        <w:t xml:space="preserve"> </w:t>
      </w:r>
      <w:r w:rsidR="00795907" w:rsidRPr="00AA47AC">
        <w:rPr>
          <w:rFonts w:ascii="Times New Roman" w:hAnsi="Times New Roman" w:cs="Times New Roman"/>
          <w:sz w:val="24"/>
          <w:szCs w:val="24"/>
        </w:rPr>
        <w:t>period.</w:t>
      </w:r>
    </w:p>
    <w:p w14:paraId="494193C4" w14:textId="77777777" w:rsidR="00854A3E" w:rsidRPr="00AA47AC" w:rsidRDefault="00854A3E" w:rsidP="00AA47AC">
      <w:pPr>
        <w:pStyle w:val="BodyText"/>
        <w:tabs>
          <w:tab w:val="left" w:pos="270"/>
        </w:tabs>
        <w:ind w:left="360" w:hanging="360"/>
        <w:rPr>
          <w:rFonts w:ascii="Times New Roman" w:hAnsi="Times New Roman" w:cs="Times New Roman"/>
          <w:sz w:val="24"/>
          <w:szCs w:val="24"/>
        </w:rPr>
      </w:pPr>
    </w:p>
    <w:p w14:paraId="73CE96D3" w14:textId="77777777" w:rsidR="00854A3E" w:rsidRPr="00AA47AC" w:rsidRDefault="00795907" w:rsidP="008459A1">
      <w:pPr>
        <w:pStyle w:val="Heading2"/>
        <w:numPr>
          <w:ilvl w:val="1"/>
          <w:numId w:val="2"/>
        </w:numPr>
        <w:tabs>
          <w:tab w:val="left" w:pos="270"/>
          <w:tab w:val="left" w:pos="932"/>
          <w:tab w:val="left" w:pos="933"/>
        </w:tabs>
        <w:ind w:left="360"/>
        <w:rPr>
          <w:rFonts w:ascii="Times New Roman" w:hAnsi="Times New Roman" w:cs="Times New Roman"/>
          <w:sz w:val="24"/>
          <w:szCs w:val="24"/>
        </w:rPr>
      </w:pPr>
      <w:r w:rsidRPr="00AA47AC">
        <w:rPr>
          <w:rFonts w:ascii="Times New Roman" w:hAnsi="Times New Roman" w:cs="Times New Roman"/>
          <w:sz w:val="24"/>
          <w:szCs w:val="24"/>
        </w:rPr>
        <w:t>Prudential</w:t>
      </w:r>
      <w:r w:rsidRPr="00AA47AC">
        <w:rPr>
          <w:rFonts w:ascii="Times New Roman" w:hAnsi="Times New Roman" w:cs="Times New Roman"/>
          <w:spacing w:val="-3"/>
          <w:sz w:val="24"/>
          <w:szCs w:val="24"/>
        </w:rPr>
        <w:t xml:space="preserve"> </w:t>
      </w:r>
      <w:r w:rsidRPr="00AA47AC">
        <w:rPr>
          <w:rFonts w:ascii="Times New Roman" w:hAnsi="Times New Roman" w:cs="Times New Roman"/>
          <w:sz w:val="24"/>
          <w:szCs w:val="24"/>
        </w:rPr>
        <w:t>Norms:</w:t>
      </w:r>
    </w:p>
    <w:p w14:paraId="577D0793" w14:textId="77777777" w:rsidR="00854A3E" w:rsidRPr="00AA47AC" w:rsidRDefault="00854A3E" w:rsidP="00AA47AC">
      <w:pPr>
        <w:pStyle w:val="BodyText"/>
        <w:tabs>
          <w:tab w:val="left" w:pos="270"/>
        </w:tabs>
        <w:ind w:left="360" w:hanging="360"/>
        <w:rPr>
          <w:rFonts w:ascii="Times New Roman" w:hAnsi="Times New Roman" w:cs="Times New Roman"/>
          <w:b/>
          <w:sz w:val="24"/>
          <w:szCs w:val="24"/>
        </w:rPr>
      </w:pPr>
    </w:p>
    <w:p w14:paraId="25D0EC25" w14:textId="77777777" w:rsidR="003708DA" w:rsidRDefault="00AA47AC" w:rsidP="00500B35">
      <w:pPr>
        <w:pStyle w:val="BodyText"/>
        <w:tabs>
          <w:tab w:val="left" w:pos="270"/>
        </w:tabs>
        <w:ind w:left="270" w:right="119" w:hanging="270"/>
        <w:jc w:val="both"/>
        <w:rPr>
          <w:rFonts w:ascii="Times New Roman" w:hAnsi="Times New Roman" w:cs="Times New Roman"/>
          <w:sz w:val="24"/>
          <w:szCs w:val="24"/>
        </w:rPr>
      </w:pPr>
      <w:r>
        <w:rPr>
          <w:rFonts w:ascii="Times New Roman" w:hAnsi="Times New Roman" w:cs="Times New Roman"/>
          <w:sz w:val="24"/>
          <w:szCs w:val="24"/>
        </w:rPr>
        <w:tab/>
      </w:r>
      <w:r w:rsidR="00795907" w:rsidRPr="00AA47AC">
        <w:rPr>
          <w:rFonts w:ascii="Times New Roman" w:hAnsi="Times New Roman" w:cs="Times New Roman"/>
          <w:sz w:val="24"/>
          <w:szCs w:val="24"/>
        </w:rPr>
        <w:t>The Company follows</w:t>
      </w:r>
      <w:r w:rsidR="003708DA">
        <w:rPr>
          <w:rFonts w:ascii="Times New Roman" w:hAnsi="Times New Roman" w:cs="Times New Roman"/>
          <w:sz w:val="24"/>
          <w:szCs w:val="24"/>
        </w:rPr>
        <w:t>:</w:t>
      </w:r>
    </w:p>
    <w:p w14:paraId="2CB0D3DC" w14:textId="77777777" w:rsidR="003708DA" w:rsidRDefault="003708DA" w:rsidP="00500B35">
      <w:pPr>
        <w:pStyle w:val="BodyText"/>
        <w:tabs>
          <w:tab w:val="left" w:pos="270"/>
        </w:tabs>
        <w:ind w:left="270" w:right="119" w:hanging="270"/>
        <w:jc w:val="both"/>
        <w:rPr>
          <w:rFonts w:ascii="Times New Roman" w:hAnsi="Times New Roman" w:cs="Times New Roman"/>
          <w:sz w:val="24"/>
          <w:szCs w:val="24"/>
        </w:rPr>
      </w:pPr>
    </w:p>
    <w:p w14:paraId="73C33D1F" w14:textId="575466E7" w:rsidR="003708DA" w:rsidRDefault="003708DA" w:rsidP="00500B35">
      <w:pPr>
        <w:pStyle w:val="BodyText"/>
        <w:tabs>
          <w:tab w:val="left" w:pos="270"/>
        </w:tabs>
        <w:ind w:left="270" w:right="119" w:hanging="270"/>
        <w:jc w:val="both"/>
        <w:rPr>
          <w:rFonts w:ascii="Times New Roman" w:hAnsi="Times New Roman" w:cs="Times New Roman"/>
          <w:sz w:val="24"/>
          <w:szCs w:val="24"/>
        </w:rPr>
      </w:pPr>
      <w:r>
        <w:rPr>
          <w:rFonts w:ascii="Times New Roman" w:hAnsi="Times New Roman" w:cs="Times New Roman"/>
          <w:sz w:val="24"/>
          <w:szCs w:val="24"/>
        </w:rPr>
        <w:tab/>
        <w:t xml:space="preserve">Master Direction- Non-Banking Financial Company- </w:t>
      </w:r>
      <w:r w:rsidR="002961CC">
        <w:rPr>
          <w:rFonts w:ascii="Times New Roman" w:hAnsi="Times New Roman" w:cs="Times New Roman"/>
          <w:sz w:val="24"/>
          <w:szCs w:val="24"/>
        </w:rPr>
        <w:t>Scale Based Regulations (Reserve Bank) Directions, 2023</w:t>
      </w:r>
      <w:r w:rsidR="00795907" w:rsidRPr="00AA47AC">
        <w:rPr>
          <w:rFonts w:ascii="Times New Roman" w:hAnsi="Times New Roman" w:cs="Times New Roman"/>
          <w:sz w:val="24"/>
          <w:szCs w:val="24"/>
        </w:rPr>
        <w:t xml:space="preserve"> </w:t>
      </w:r>
      <w:r w:rsidR="0035023E">
        <w:rPr>
          <w:rFonts w:ascii="Times New Roman" w:hAnsi="Times New Roman" w:cs="Times New Roman"/>
          <w:sz w:val="24"/>
          <w:szCs w:val="24"/>
        </w:rPr>
        <w:t xml:space="preserve">(hereinafter referred to as “Master Direction- RBI”) </w:t>
      </w:r>
      <w:r w:rsidR="00795907" w:rsidRPr="00AA47AC">
        <w:rPr>
          <w:rFonts w:ascii="Times New Roman" w:hAnsi="Times New Roman" w:cs="Times New Roman"/>
          <w:sz w:val="24"/>
          <w:szCs w:val="24"/>
        </w:rPr>
        <w:t xml:space="preserve">as amended from time to time, in respect of income recognition, income from investments, accounting of investments, asset classification, disclosures in the Balance Sheet and provisioning. </w:t>
      </w:r>
    </w:p>
    <w:p w14:paraId="18F50D04" w14:textId="77777777" w:rsidR="003708DA" w:rsidRDefault="003708DA" w:rsidP="00500B35">
      <w:pPr>
        <w:pStyle w:val="BodyText"/>
        <w:tabs>
          <w:tab w:val="left" w:pos="270"/>
        </w:tabs>
        <w:ind w:left="270" w:right="119" w:hanging="270"/>
        <w:jc w:val="both"/>
        <w:rPr>
          <w:rFonts w:ascii="Times New Roman" w:hAnsi="Times New Roman" w:cs="Times New Roman"/>
          <w:sz w:val="24"/>
          <w:szCs w:val="24"/>
        </w:rPr>
      </w:pPr>
    </w:p>
    <w:p w14:paraId="72987408" w14:textId="3C2718DB" w:rsidR="00854A3E" w:rsidRDefault="003708DA" w:rsidP="00AA47AC">
      <w:pPr>
        <w:pStyle w:val="BodyText"/>
        <w:tabs>
          <w:tab w:val="left" w:pos="270"/>
        </w:tabs>
        <w:ind w:left="270" w:right="119" w:hanging="270"/>
        <w:jc w:val="both"/>
        <w:rPr>
          <w:rFonts w:ascii="Times New Roman" w:hAnsi="Times New Roman" w:cs="Times New Roman"/>
          <w:sz w:val="24"/>
          <w:szCs w:val="24"/>
        </w:rPr>
      </w:pPr>
      <w:r>
        <w:rPr>
          <w:rFonts w:ascii="Times New Roman" w:hAnsi="Times New Roman" w:cs="Times New Roman"/>
          <w:sz w:val="24"/>
          <w:szCs w:val="24"/>
        </w:rPr>
        <w:tab/>
      </w:r>
      <w:r w:rsidR="001818D5" w:rsidRPr="00AA47AC">
        <w:rPr>
          <w:rFonts w:ascii="Times New Roman" w:hAnsi="Times New Roman" w:cs="Times New Roman"/>
          <w:sz w:val="24"/>
          <w:szCs w:val="24"/>
        </w:rPr>
        <w:t>IND AS</w:t>
      </w:r>
      <w:r w:rsidR="00795907" w:rsidRPr="00AA47AC">
        <w:rPr>
          <w:rFonts w:ascii="Times New Roman" w:hAnsi="Times New Roman" w:cs="Times New Roman"/>
          <w:sz w:val="24"/>
          <w:szCs w:val="24"/>
        </w:rPr>
        <w:t xml:space="preserve"> under Section 133 of the Companies Act, 2013 and Guidance Notes issued by The Institute of Chartered Accountants of India (“ICAI”)</w:t>
      </w:r>
      <w:r w:rsidR="00B14D0C">
        <w:rPr>
          <w:rFonts w:ascii="Times New Roman" w:hAnsi="Times New Roman" w:cs="Times New Roman"/>
          <w:sz w:val="24"/>
          <w:szCs w:val="24"/>
        </w:rPr>
        <w:t>.</w:t>
      </w:r>
    </w:p>
    <w:p w14:paraId="13D5D2C2" w14:textId="0D03088A" w:rsidR="003708DA" w:rsidRDefault="003708DA" w:rsidP="00AA47AC">
      <w:pPr>
        <w:pStyle w:val="BodyText"/>
        <w:tabs>
          <w:tab w:val="left" w:pos="270"/>
        </w:tabs>
        <w:ind w:left="270" w:right="119" w:hanging="270"/>
        <w:jc w:val="both"/>
        <w:rPr>
          <w:rFonts w:ascii="Times New Roman" w:hAnsi="Times New Roman" w:cs="Times New Roman"/>
          <w:sz w:val="24"/>
          <w:szCs w:val="24"/>
        </w:rPr>
      </w:pPr>
    </w:p>
    <w:p w14:paraId="486B421E" w14:textId="425BB0DC" w:rsidR="003708DA" w:rsidRPr="003708DA" w:rsidRDefault="003708DA" w:rsidP="003708DA">
      <w:pPr>
        <w:pStyle w:val="BodyText"/>
        <w:numPr>
          <w:ilvl w:val="0"/>
          <w:numId w:val="2"/>
        </w:numPr>
        <w:tabs>
          <w:tab w:val="left" w:pos="270"/>
        </w:tabs>
        <w:ind w:left="360" w:right="119"/>
        <w:jc w:val="both"/>
        <w:rPr>
          <w:rFonts w:ascii="Times New Roman" w:hAnsi="Times New Roman" w:cs="Times New Roman"/>
          <w:b/>
          <w:bCs/>
          <w:sz w:val="24"/>
          <w:szCs w:val="24"/>
        </w:rPr>
      </w:pPr>
      <w:r w:rsidRPr="003708DA">
        <w:rPr>
          <w:rFonts w:ascii="Times New Roman" w:hAnsi="Times New Roman" w:cs="Times New Roman"/>
          <w:b/>
          <w:bCs/>
          <w:sz w:val="24"/>
          <w:szCs w:val="24"/>
        </w:rPr>
        <w:t>BALANCE SHEET ITEMS:</w:t>
      </w:r>
    </w:p>
    <w:p w14:paraId="5DA84ABE" w14:textId="77777777" w:rsidR="00854A3E" w:rsidRPr="00AA47AC" w:rsidRDefault="00854A3E" w:rsidP="00AA47AC">
      <w:pPr>
        <w:pStyle w:val="BodyText"/>
        <w:tabs>
          <w:tab w:val="left" w:pos="270"/>
        </w:tabs>
        <w:spacing w:before="12"/>
        <w:ind w:left="360" w:hanging="360"/>
        <w:rPr>
          <w:rFonts w:ascii="Times New Roman" w:hAnsi="Times New Roman" w:cs="Times New Roman"/>
          <w:sz w:val="24"/>
          <w:szCs w:val="24"/>
        </w:rPr>
      </w:pPr>
    </w:p>
    <w:p w14:paraId="1C485456" w14:textId="190DE748" w:rsidR="00854A3E" w:rsidRPr="00AA47AC" w:rsidRDefault="00795907" w:rsidP="0035023E">
      <w:pPr>
        <w:pStyle w:val="Heading2"/>
        <w:numPr>
          <w:ilvl w:val="0"/>
          <w:numId w:val="3"/>
        </w:numPr>
        <w:tabs>
          <w:tab w:val="left" w:pos="270"/>
          <w:tab w:val="left" w:pos="917"/>
          <w:tab w:val="left" w:pos="918"/>
        </w:tabs>
        <w:ind w:left="270" w:hanging="270"/>
        <w:rPr>
          <w:rFonts w:ascii="Times New Roman" w:hAnsi="Times New Roman" w:cs="Times New Roman"/>
          <w:sz w:val="24"/>
          <w:szCs w:val="24"/>
        </w:rPr>
      </w:pPr>
      <w:r w:rsidRPr="00AA47AC">
        <w:rPr>
          <w:rFonts w:ascii="Times New Roman" w:hAnsi="Times New Roman" w:cs="Times New Roman"/>
          <w:sz w:val="24"/>
          <w:szCs w:val="24"/>
        </w:rPr>
        <w:t>Fixed</w:t>
      </w:r>
      <w:r w:rsidRPr="00AA47AC">
        <w:rPr>
          <w:rFonts w:ascii="Times New Roman" w:hAnsi="Times New Roman" w:cs="Times New Roman"/>
          <w:spacing w:val="-2"/>
          <w:sz w:val="24"/>
          <w:szCs w:val="24"/>
        </w:rPr>
        <w:t xml:space="preserve"> </w:t>
      </w:r>
      <w:r w:rsidRPr="00AA47AC">
        <w:rPr>
          <w:rFonts w:ascii="Times New Roman" w:hAnsi="Times New Roman" w:cs="Times New Roman"/>
          <w:sz w:val="24"/>
          <w:szCs w:val="24"/>
        </w:rPr>
        <w:t>assets</w:t>
      </w:r>
    </w:p>
    <w:p w14:paraId="1DD81DA4" w14:textId="77777777" w:rsidR="00854A3E" w:rsidRPr="00AA47AC" w:rsidRDefault="00854A3E" w:rsidP="00AA47AC">
      <w:pPr>
        <w:pStyle w:val="BodyText"/>
        <w:tabs>
          <w:tab w:val="left" w:pos="270"/>
        </w:tabs>
        <w:ind w:left="360" w:hanging="360"/>
        <w:rPr>
          <w:rFonts w:ascii="Times New Roman" w:hAnsi="Times New Roman" w:cs="Times New Roman"/>
          <w:b/>
          <w:sz w:val="24"/>
          <w:szCs w:val="24"/>
        </w:rPr>
      </w:pPr>
    </w:p>
    <w:p w14:paraId="71F5769A" w14:textId="77777777" w:rsidR="003708DA" w:rsidRPr="0035023E" w:rsidRDefault="00AA47AC" w:rsidP="00AA47AC">
      <w:pPr>
        <w:pStyle w:val="BodyText"/>
        <w:tabs>
          <w:tab w:val="left" w:pos="270"/>
        </w:tabs>
        <w:ind w:left="360" w:hanging="360"/>
        <w:jc w:val="both"/>
        <w:rPr>
          <w:rFonts w:ascii="Times New Roman" w:hAnsi="Times New Roman" w:cs="Times New Roman"/>
          <w:b/>
          <w:bCs/>
          <w:sz w:val="24"/>
          <w:szCs w:val="24"/>
        </w:rPr>
      </w:pPr>
      <w:r>
        <w:rPr>
          <w:rFonts w:ascii="Times New Roman" w:hAnsi="Times New Roman" w:cs="Times New Roman"/>
          <w:sz w:val="24"/>
          <w:szCs w:val="24"/>
        </w:rPr>
        <w:tab/>
      </w:r>
      <w:r w:rsidR="00795907" w:rsidRPr="0035023E">
        <w:rPr>
          <w:rFonts w:ascii="Times New Roman" w:hAnsi="Times New Roman" w:cs="Times New Roman"/>
          <w:b/>
          <w:bCs/>
          <w:sz w:val="24"/>
          <w:szCs w:val="24"/>
        </w:rPr>
        <w:t xml:space="preserve">Tangible Assets: </w:t>
      </w:r>
    </w:p>
    <w:p w14:paraId="098E0090" w14:textId="77777777" w:rsidR="003708DA" w:rsidRDefault="003708DA" w:rsidP="00AA47AC">
      <w:pPr>
        <w:pStyle w:val="BodyText"/>
        <w:tabs>
          <w:tab w:val="left" w:pos="270"/>
        </w:tabs>
        <w:ind w:left="360" w:hanging="360"/>
        <w:jc w:val="both"/>
        <w:rPr>
          <w:rFonts w:ascii="Times New Roman" w:hAnsi="Times New Roman" w:cs="Times New Roman"/>
          <w:sz w:val="24"/>
          <w:szCs w:val="24"/>
        </w:rPr>
      </w:pPr>
    </w:p>
    <w:p w14:paraId="668DB91A" w14:textId="00893536" w:rsidR="00854A3E" w:rsidRDefault="003708DA" w:rsidP="0035023E">
      <w:pPr>
        <w:pStyle w:val="BodyText"/>
        <w:tabs>
          <w:tab w:val="left" w:pos="270"/>
        </w:tabs>
        <w:ind w:left="270" w:hanging="360"/>
        <w:jc w:val="both"/>
        <w:rPr>
          <w:rFonts w:ascii="Times New Roman" w:hAnsi="Times New Roman" w:cs="Times New Roman"/>
          <w:color w:val="181818"/>
          <w:sz w:val="24"/>
          <w:szCs w:val="24"/>
        </w:rPr>
      </w:pPr>
      <w:r>
        <w:rPr>
          <w:rFonts w:ascii="Times New Roman" w:hAnsi="Times New Roman" w:cs="Times New Roman"/>
          <w:sz w:val="24"/>
          <w:szCs w:val="24"/>
        </w:rPr>
        <w:tab/>
      </w:r>
      <w:r w:rsidR="00795907" w:rsidRPr="00B14D0C">
        <w:rPr>
          <w:rFonts w:ascii="Times New Roman" w:hAnsi="Times New Roman" w:cs="Times New Roman"/>
          <w:b/>
          <w:bCs/>
          <w:sz w:val="24"/>
          <w:szCs w:val="24"/>
        </w:rPr>
        <w:t>Property, Plant and Equipment:</w:t>
      </w:r>
      <w:r>
        <w:rPr>
          <w:rFonts w:ascii="Times New Roman" w:hAnsi="Times New Roman" w:cs="Times New Roman"/>
          <w:sz w:val="24"/>
          <w:szCs w:val="24"/>
        </w:rPr>
        <w:t xml:space="preserve"> </w:t>
      </w:r>
      <w:r w:rsidR="00795907" w:rsidRPr="00AA47AC">
        <w:rPr>
          <w:rFonts w:ascii="Times New Roman" w:hAnsi="Times New Roman" w:cs="Times New Roman"/>
          <w:sz w:val="24"/>
          <w:szCs w:val="24"/>
        </w:rPr>
        <w:t xml:space="preserve">Tangible fixed assets shall be stated at cost, net of tax / duty credits availed, less accumulated depreciation / impairment losses, if any. Cost includes original </w:t>
      </w:r>
      <w:r w:rsidR="00795907" w:rsidRPr="00AA47AC">
        <w:rPr>
          <w:rFonts w:ascii="Times New Roman" w:hAnsi="Times New Roman" w:cs="Times New Roman"/>
          <w:sz w:val="24"/>
          <w:szCs w:val="24"/>
        </w:rPr>
        <w:lastRenderedPageBreak/>
        <w:t>cost of acquisition, including incidental expenses related to such acquisition and installation</w:t>
      </w:r>
      <w:r w:rsidR="00795907" w:rsidRPr="00AA47AC">
        <w:rPr>
          <w:rFonts w:ascii="Times New Roman" w:hAnsi="Times New Roman" w:cs="Times New Roman"/>
          <w:color w:val="181818"/>
          <w:sz w:val="24"/>
          <w:szCs w:val="24"/>
        </w:rPr>
        <w:t>.</w:t>
      </w:r>
    </w:p>
    <w:p w14:paraId="0E815F6B" w14:textId="77777777" w:rsidR="0035023E" w:rsidRPr="0035023E" w:rsidRDefault="0035023E" w:rsidP="0035023E">
      <w:pPr>
        <w:pStyle w:val="ListParagraph"/>
        <w:tabs>
          <w:tab w:val="left" w:pos="270"/>
        </w:tabs>
        <w:ind w:left="270" w:firstLine="0"/>
        <w:jc w:val="both"/>
        <w:rPr>
          <w:rFonts w:ascii="Times New Roman" w:hAnsi="Times New Roman" w:cs="Times New Roman"/>
          <w:sz w:val="24"/>
          <w:szCs w:val="24"/>
        </w:rPr>
      </w:pPr>
      <w:r w:rsidRPr="00B14D0C">
        <w:rPr>
          <w:rFonts w:ascii="Times New Roman" w:hAnsi="Times New Roman" w:cs="Times New Roman"/>
          <w:b/>
          <w:bCs/>
          <w:color w:val="181818"/>
          <w:sz w:val="24"/>
          <w:szCs w:val="24"/>
        </w:rPr>
        <w:t>Right to use an Asset:</w:t>
      </w:r>
      <w:r>
        <w:rPr>
          <w:rFonts w:ascii="Times New Roman" w:hAnsi="Times New Roman" w:cs="Times New Roman"/>
          <w:color w:val="181818"/>
          <w:sz w:val="24"/>
          <w:szCs w:val="24"/>
        </w:rPr>
        <w:t xml:space="preserve"> </w:t>
      </w:r>
      <w:r w:rsidRPr="0035023E">
        <w:rPr>
          <w:rFonts w:ascii="Times New Roman" w:hAnsi="Times New Roman" w:cs="Times New Roman"/>
          <w:sz w:val="24"/>
          <w:szCs w:val="24"/>
        </w:rPr>
        <w:t>The Company has elected not to apply the requirements of Ind AS 116 Leases to short term leases of all assets that have a lease term of 12 months or less and leases for which the underlying asset is of low value. The lease payments associated with these leases are recognised as an expense on a straight-line basis over the lease term.</w:t>
      </w:r>
    </w:p>
    <w:p w14:paraId="14363AAB" w14:textId="77777777" w:rsidR="0035023E" w:rsidRPr="0035023E" w:rsidRDefault="0035023E" w:rsidP="0035023E">
      <w:pPr>
        <w:pStyle w:val="ListParagraph"/>
        <w:ind w:left="360" w:firstLine="0"/>
        <w:jc w:val="both"/>
        <w:rPr>
          <w:rFonts w:ascii="Times New Roman" w:hAnsi="Times New Roman" w:cs="Times New Roman"/>
          <w:sz w:val="24"/>
          <w:szCs w:val="24"/>
        </w:rPr>
      </w:pPr>
    </w:p>
    <w:p w14:paraId="7F756315" w14:textId="77777777" w:rsidR="0035023E" w:rsidRPr="0035023E" w:rsidRDefault="0035023E" w:rsidP="0035023E">
      <w:pPr>
        <w:pStyle w:val="ListParagraph"/>
        <w:ind w:left="270" w:firstLine="0"/>
        <w:jc w:val="both"/>
        <w:rPr>
          <w:rFonts w:ascii="Times New Roman" w:hAnsi="Times New Roman" w:cs="Times New Roman"/>
          <w:sz w:val="24"/>
          <w:szCs w:val="24"/>
        </w:rPr>
      </w:pPr>
      <w:r w:rsidRPr="0035023E">
        <w:rPr>
          <w:rFonts w:ascii="Times New Roman" w:hAnsi="Times New Roman" w:cs="Times New Roman"/>
          <w:sz w:val="24"/>
          <w:szCs w:val="24"/>
        </w:rPr>
        <w:t>The Company recognises right-of-use asset representing its right to use the underlying asset for the lease term at the lease commencement date. The cost of the right of-use asset measured at inception shall comprise of the amount of the initial measurement of the lease liability adjusted for any lease payments made at or before the commencement date less any lease incentives received, plus any initial direct costs incurred and an estimate of costs to be incurred by the lessee in dismantling and removing the underlying asset or restoring the underlying asset or site on which it is located. The right-of-use assets is subsequently measured at cost less any accumulated depreciation, accumulated impairment losses, if any. The right-of-use assets is depreciated using the straight-line method from the commencement date over the shorter of lease term or useful life of right-of-use asset</w:t>
      </w:r>
    </w:p>
    <w:p w14:paraId="712CA565" w14:textId="55672496" w:rsidR="0035023E" w:rsidRPr="00AA47AC" w:rsidRDefault="0035023E" w:rsidP="003708DA">
      <w:pPr>
        <w:pStyle w:val="BodyText"/>
        <w:tabs>
          <w:tab w:val="left" w:pos="270"/>
        </w:tabs>
        <w:ind w:left="360" w:hanging="360"/>
        <w:jc w:val="both"/>
        <w:rPr>
          <w:rFonts w:ascii="Times New Roman" w:hAnsi="Times New Roman" w:cs="Times New Roman"/>
          <w:sz w:val="24"/>
          <w:szCs w:val="24"/>
        </w:rPr>
      </w:pPr>
    </w:p>
    <w:p w14:paraId="1AB002B4" w14:textId="36121DC7" w:rsidR="00854A3E" w:rsidRPr="0035023E" w:rsidRDefault="00AA47AC" w:rsidP="00AA47AC">
      <w:pPr>
        <w:pStyle w:val="BodyText"/>
        <w:tabs>
          <w:tab w:val="left" w:pos="270"/>
        </w:tabs>
        <w:ind w:left="270" w:hanging="270"/>
        <w:jc w:val="both"/>
        <w:rPr>
          <w:rFonts w:ascii="Times New Roman" w:hAnsi="Times New Roman" w:cs="Times New Roman"/>
          <w:b/>
          <w:bCs/>
          <w:sz w:val="24"/>
          <w:szCs w:val="24"/>
        </w:rPr>
      </w:pPr>
      <w:r w:rsidRPr="0035023E">
        <w:rPr>
          <w:rFonts w:ascii="Times New Roman" w:hAnsi="Times New Roman" w:cs="Times New Roman"/>
          <w:b/>
          <w:bCs/>
          <w:sz w:val="24"/>
          <w:szCs w:val="24"/>
        </w:rPr>
        <w:tab/>
      </w:r>
      <w:r w:rsidR="00795907" w:rsidRPr="0035023E">
        <w:rPr>
          <w:rFonts w:ascii="Times New Roman" w:hAnsi="Times New Roman" w:cs="Times New Roman"/>
          <w:b/>
          <w:bCs/>
          <w:sz w:val="24"/>
          <w:szCs w:val="24"/>
        </w:rPr>
        <w:t>Intangible Assets:</w:t>
      </w:r>
    </w:p>
    <w:p w14:paraId="6D646A3C" w14:textId="77777777" w:rsidR="00854A3E" w:rsidRPr="00AA47AC" w:rsidRDefault="00854A3E" w:rsidP="00AA47AC">
      <w:pPr>
        <w:pStyle w:val="BodyText"/>
        <w:tabs>
          <w:tab w:val="left" w:pos="270"/>
        </w:tabs>
        <w:ind w:left="270" w:hanging="270"/>
        <w:rPr>
          <w:rFonts w:ascii="Times New Roman" w:hAnsi="Times New Roman" w:cs="Times New Roman"/>
          <w:sz w:val="24"/>
          <w:szCs w:val="24"/>
        </w:rPr>
      </w:pPr>
    </w:p>
    <w:p w14:paraId="404C7E80" w14:textId="0229FFCC" w:rsidR="00854A3E" w:rsidRDefault="00AA47AC" w:rsidP="00AA47AC">
      <w:pPr>
        <w:pStyle w:val="BodyText"/>
        <w:tabs>
          <w:tab w:val="left" w:pos="270"/>
        </w:tabs>
        <w:ind w:left="270" w:right="120" w:hanging="270"/>
        <w:jc w:val="both"/>
        <w:rPr>
          <w:rFonts w:ascii="Times New Roman" w:hAnsi="Times New Roman" w:cs="Times New Roman"/>
          <w:color w:val="181818"/>
          <w:sz w:val="24"/>
          <w:szCs w:val="24"/>
        </w:rPr>
      </w:pPr>
      <w:r>
        <w:rPr>
          <w:rFonts w:ascii="Times New Roman" w:hAnsi="Times New Roman" w:cs="Times New Roman"/>
          <w:sz w:val="24"/>
          <w:szCs w:val="24"/>
        </w:rPr>
        <w:tab/>
      </w:r>
      <w:r w:rsidR="00795907" w:rsidRPr="00AA47AC">
        <w:rPr>
          <w:rFonts w:ascii="Times New Roman" w:hAnsi="Times New Roman" w:cs="Times New Roman"/>
          <w:sz w:val="24"/>
          <w:szCs w:val="24"/>
        </w:rPr>
        <w:t>Intangible assets shall be stated at cost, net of tax / duty credits availed, less accumulated amortization/impairment losses, if any. Cost includes original cost of acquisition, including incidental expenses related to such acquisition</w:t>
      </w:r>
      <w:r w:rsidR="00795907" w:rsidRPr="00AA47AC">
        <w:rPr>
          <w:rFonts w:ascii="Times New Roman" w:hAnsi="Times New Roman" w:cs="Times New Roman"/>
          <w:color w:val="181818"/>
          <w:sz w:val="24"/>
          <w:szCs w:val="24"/>
        </w:rPr>
        <w:t>.</w:t>
      </w:r>
    </w:p>
    <w:p w14:paraId="2046ECDC" w14:textId="5BF96CCB" w:rsidR="003708DA" w:rsidRPr="000362C5" w:rsidRDefault="003708DA" w:rsidP="00AA47AC">
      <w:pPr>
        <w:pStyle w:val="BodyText"/>
        <w:tabs>
          <w:tab w:val="left" w:pos="270"/>
        </w:tabs>
        <w:ind w:left="270" w:right="120" w:hanging="270"/>
        <w:jc w:val="both"/>
        <w:rPr>
          <w:rFonts w:ascii="Times New Roman" w:hAnsi="Times New Roman" w:cs="Times New Roman"/>
          <w:color w:val="181818"/>
          <w:sz w:val="16"/>
          <w:szCs w:val="16"/>
        </w:rPr>
      </w:pPr>
    </w:p>
    <w:p w14:paraId="52157111" w14:textId="10288A85" w:rsidR="003708DA" w:rsidRPr="00AA47AC" w:rsidRDefault="003708DA" w:rsidP="0035023E">
      <w:pPr>
        <w:pStyle w:val="Heading2"/>
        <w:numPr>
          <w:ilvl w:val="0"/>
          <w:numId w:val="3"/>
        </w:numPr>
        <w:tabs>
          <w:tab w:val="left" w:pos="540"/>
        </w:tabs>
        <w:ind w:left="270"/>
        <w:rPr>
          <w:rFonts w:ascii="Times New Roman" w:hAnsi="Times New Roman" w:cs="Times New Roman"/>
          <w:sz w:val="24"/>
          <w:szCs w:val="24"/>
        </w:rPr>
      </w:pPr>
      <w:r w:rsidRPr="00AA47AC">
        <w:rPr>
          <w:rFonts w:ascii="Times New Roman" w:hAnsi="Times New Roman" w:cs="Times New Roman"/>
          <w:sz w:val="24"/>
          <w:szCs w:val="24"/>
        </w:rPr>
        <w:t>Investments</w:t>
      </w:r>
    </w:p>
    <w:p w14:paraId="1B9F69F3" w14:textId="77777777" w:rsidR="003708DA" w:rsidRPr="00AA47AC" w:rsidRDefault="003708DA" w:rsidP="003708DA">
      <w:pPr>
        <w:pStyle w:val="BodyText"/>
        <w:tabs>
          <w:tab w:val="left" w:pos="540"/>
        </w:tabs>
        <w:spacing w:before="1"/>
        <w:ind w:left="270" w:hanging="270"/>
        <w:rPr>
          <w:rFonts w:ascii="Times New Roman" w:hAnsi="Times New Roman" w:cs="Times New Roman"/>
          <w:b/>
          <w:sz w:val="24"/>
          <w:szCs w:val="24"/>
        </w:rPr>
      </w:pPr>
    </w:p>
    <w:p w14:paraId="609C802F" w14:textId="5BA88BE2" w:rsidR="003708DA" w:rsidRDefault="00B14D0C" w:rsidP="00B14D0C">
      <w:pPr>
        <w:pStyle w:val="BodyText"/>
        <w:tabs>
          <w:tab w:val="left" w:pos="540"/>
        </w:tabs>
        <w:ind w:left="270" w:right="119"/>
        <w:jc w:val="both"/>
        <w:rPr>
          <w:rFonts w:ascii="Times New Roman" w:hAnsi="Times New Roman" w:cs="Times New Roman"/>
          <w:sz w:val="24"/>
          <w:szCs w:val="24"/>
        </w:rPr>
      </w:pPr>
      <w:r>
        <w:rPr>
          <w:rFonts w:ascii="Times New Roman" w:hAnsi="Times New Roman" w:cs="Times New Roman"/>
          <w:sz w:val="24"/>
          <w:szCs w:val="24"/>
        </w:rPr>
        <w:t xml:space="preserve">The criteria to classify the </w:t>
      </w:r>
      <w:r w:rsidR="003708DA" w:rsidRPr="00AA47AC">
        <w:rPr>
          <w:rFonts w:ascii="Times New Roman" w:hAnsi="Times New Roman" w:cs="Times New Roman"/>
          <w:sz w:val="24"/>
          <w:szCs w:val="24"/>
        </w:rPr>
        <w:t xml:space="preserve">Investments </w:t>
      </w:r>
      <w:r>
        <w:rPr>
          <w:rFonts w:ascii="Times New Roman" w:hAnsi="Times New Roman" w:cs="Times New Roman"/>
          <w:sz w:val="24"/>
          <w:szCs w:val="24"/>
        </w:rPr>
        <w:t>into current and long-term investments are as prescribed in Investment Policy.</w:t>
      </w:r>
    </w:p>
    <w:p w14:paraId="7078E78B" w14:textId="6C0B4061" w:rsidR="00B14D0C" w:rsidRDefault="00B14D0C" w:rsidP="00B14D0C">
      <w:pPr>
        <w:pStyle w:val="BodyText"/>
        <w:tabs>
          <w:tab w:val="left" w:pos="540"/>
        </w:tabs>
        <w:ind w:left="270" w:right="119"/>
        <w:jc w:val="both"/>
        <w:rPr>
          <w:rFonts w:ascii="Times New Roman" w:hAnsi="Times New Roman" w:cs="Times New Roman"/>
          <w:sz w:val="24"/>
          <w:szCs w:val="24"/>
        </w:rPr>
      </w:pPr>
    </w:p>
    <w:p w14:paraId="02A3C240" w14:textId="073640DB" w:rsidR="003708DA" w:rsidRPr="00AA47AC" w:rsidRDefault="00B14D0C" w:rsidP="00B14D0C">
      <w:pPr>
        <w:pStyle w:val="BodyText"/>
        <w:tabs>
          <w:tab w:val="left" w:pos="540"/>
        </w:tabs>
        <w:ind w:left="270" w:right="119"/>
        <w:jc w:val="both"/>
        <w:rPr>
          <w:rFonts w:ascii="Times New Roman" w:hAnsi="Times New Roman" w:cs="Times New Roman"/>
          <w:sz w:val="24"/>
          <w:szCs w:val="24"/>
        </w:rPr>
      </w:pPr>
      <w:r>
        <w:rPr>
          <w:rFonts w:ascii="Times New Roman" w:hAnsi="Times New Roman" w:cs="Times New Roman"/>
          <w:sz w:val="24"/>
          <w:szCs w:val="24"/>
        </w:rPr>
        <w:t>The company through its Investment Policy opted to invest in Debt</w:t>
      </w:r>
      <w:r w:rsidR="006D24D9">
        <w:rPr>
          <w:rFonts w:ascii="Times New Roman" w:hAnsi="Times New Roman" w:cs="Times New Roman"/>
          <w:sz w:val="24"/>
          <w:szCs w:val="24"/>
        </w:rPr>
        <w:t xml:space="preserve">/Equity </w:t>
      </w:r>
      <w:r>
        <w:rPr>
          <w:rFonts w:ascii="Times New Roman" w:hAnsi="Times New Roman" w:cs="Times New Roman"/>
          <w:sz w:val="24"/>
          <w:szCs w:val="24"/>
        </w:rPr>
        <w:t xml:space="preserve">Oriented Mutual Funds. </w:t>
      </w:r>
      <w:r w:rsidR="003708DA" w:rsidRPr="00AA47AC">
        <w:rPr>
          <w:rFonts w:ascii="Times New Roman" w:hAnsi="Times New Roman" w:cs="Times New Roman"/>
          <w:sz w:val="24"/>
          <w:szCs w:val="24"/>
        </w:rPr>
        <w:t xml:space="preserve">As per IND AS, Investments in Mutual funds, which will not be held for trading, will be classified at Fair Value through </w:t>
      </w:r>
      <w:r w:rsidR="003708DA">
        <w:rPr>
          <w:rFonts w:ascii="Times New Roman" w:hAnsi="Times New Roman" w:cs="Times New Roman"/>
          <w:sz w:val="24"/>
          <w:szCs w:val="24"/>
        </w:rPr>
        <w:t>Profit &amp; Loss Account</w:t>
      </w:r>
      <w:r w:rsidR="003708DA" w:rsidRPr="00AA47AC">
        <w:rPr>
          <w:rFonts w:ascii="Times New Roman" w:hAnsi="Times New Roman" w:cs="Times New Roman"/>
          <w:sz w:val="24"/>
          <w:szCs w:val="24"/>
        </w:rPr>
        <w:t xml:space="preserve"> (FVT</w:t>
      </w:r>
      <w:r w:rsidR="003708DA">
        <w:rPr>
          <w:rFonts w:ascii="Times New Roman" w:hAnsi="Times New Roman" w:cs="Times New Roman"/>
          <w:sz w:val="24"/>
          <w:szCs w:val="24"/>
        </w:rPr>
        <w:t>PL</w:t>
      </w:r>
      <w:r w:rsidR="003708DA" w:rsidRPr="00AA47AC">
        <w:rPr>
          <w:rFonts w:ascii="Times New Roman" w:hAnsi="Times New Roman" w:cs="Times New Roman"/>
          <w:sz w:val="24"/>
          <w:szCs w:val="24"/>
        </w:rPr>
        <w:t>).</w:t>
      </w:r>
    </w:p>
    <w:p w14:paraId="7127BA92" w14:textId="77777777" w:rsidR="003708DA" w:rsidRDefault="003708DA" w:rsidP="003708DA">
      <w:pPr>
        <w:pStyle w:val="BodyText"/>
        <w:tabs>
          <w:tab w:val="left" w:pos="540"/>
        </w:tabs>
        <w:ind w:left="270" w:right="119" w:hanging="270"/>
        <w:jc w:val="both"/>
        <w:rPr>
          <w:rFonts w:ascii="Times New Roman" w:hAnsi="Times New Roman" w:cs="Times New Roman"/>
          <w:sz w:val="24"/>
          <w:szCs w:val="24"/>
        </w:rPr>
      </w:pPr>
    </w:p>
    <w:p w14:paraId="5F5FB224" w14:textId="0C2A4F1E" w:rsidR="003708DA" w:rsidRPr="00AA47AC" w:rsidRDefault="003708DA" w:rsidP="003708DA">
      <w:pPr>
        <w:pStyle w:val="BodyText"/>
        <w:tabs>
          <w:tab w:val="left" w:pos="540"/>
        </w:tabs>
        <w:ind w:left="270" w:right="119" w:hanging="270"/>
        <w:jc w:val="both"/>
        <w:rPr>
          <w:rFonts w:ascii="Times New Roman" w:hAnsi="Times New Roman" w:cs="Times New Roman"/>
          <w:sz w:val="24"/>
          <w:szCs w:val="24"/>
        </w:rPr>
      </w:pPr>
      <w:r>
        <w:rPr>
          <w:rFonts w:ascii="Times New Roman" w:hAnsi="Times New Roman" w:cs="Times New Roman"/>
          <w:sz w:val="24"/>
          <w:szCs w:val="24"/>
        </w:rPr>
        <w:tab/>
      </w:r>
      <w:r w:rsidRPr="00AA47AC">
        <w:rPr>
          <w:rFonts w:ascii="Times New Roman" w:hAnsi="Times New Roman" w:cs="Times New Roman"/>
          <w:sz w:val="24"/>
          <w:szCs w:val="24"/>
        </w:rPr>
        <w:t xml:space="preserve">Provision for diminution in value of investments </w:t>
      </w:r>
      <w:r w:rsidR="00B14D0C">
        <w:rPr>
          <w:rFonts w:ascii="Times New Roman" w:hAnsi="Times New Roman" w:cs="Times New Roman"/>
          <w:sz w:val="24"/>
          <w:szCs w:val="24"/>
        </w:rPr>
        <w:t>shall be</w:t>
      </w:r>
      <w:r w:rsidRPr="00AA47AC">
        <w:rPr>
          <w:rFonts w:ascii="Times New Roman" w:hAnsi="Times New Roman" w:cs="Times New Roman"/>
          <w:sz w:val="24"/>
          <w:szCs w:val="24"/>
        </w:rPr>
        <w:t xml:space="preserve"> made in accordance with the </w:t>
      </w:r>
      <w:r w:rsidR="00B14D0C">
        <w:rPr>
          <w:rFonts w:ascii="Times New Roman" w:hAnsi="Times New Roman" w:cs="Times New Roman"/>
          <w:sz w:val="24"/>
          <w:szCs w:val="24"/>
        </w:rPr>
        <w:t xml:space="preserve">IND AS read with </w:t>
      </w:r>
      <w:r w:rsidR="0035023E">
        <w:rPr>
          <w:rFonts w:ascii="Times New Roman" w:hAnsi="Times New Roman" w:cs="Times New Roman"/>
          <w:sz w:val="24"/>
          <w:szCs w:val="24"/>
        </w:rPr>
        <w:t>Master Direction- RBI</w:t>
      </w:r>
      <w:r w:rsidR="00B14D0C">
        <w:rPr>
          <w:rFonts w:ascii="Times New Roman" w:hAnsi="Times New Roman" w:cs="Times New Roman"/>
          <w:sz w:val="24"/>
          <w:szCs w:val="24"/>
        </w:rPr>
        <w:t>.</w:t>
      </w:r>
    </w:p>
    <w:p w14:paraId="0ACF936C" w14:textId="58574A62" w:rsidR="003708DA" w:rsidRDefault="003708DA" w:rsidP="00AA47AC">
      <w:pPr>
        <w:pStyle w:val="BodyText"/>
        <w:tabs>
          <w:tab w:val="left" w:pos="270"/>
        </w:tabs>
        <w:ind w:left="270" w:right="120" w:hanging="270"/>
        <w:jc w:val="both"/>
        <w:rPr>
          <w:rFonts w:ascii="Times New Roman" w:hAnsi="Times New Roman" w:cs="Times New Roman"/>
          <w:color w:val="181818"/>
          <w:sz w:val="24"/>
          <w:szCs w:val="24"/>
        </w:rPr>
      </w:pPr>
    </w:p>
    <w:p w14:paraId="320FDA29" w14:textId="71F0EF16" w:rsidR="000362C5" w:rsidRPr="000362C5" w:rsidRDefault="000362C5" w:rsidP="0035023E">
      <w:pPr>
        <w:pStyle w:val="Heading2"/>
        <w:numPr>
          <w:ilvl w:val="0"/>
          <w:numId w:val="3"/>
        </w:numPr>
        <w:tabs>
          <w:tab w:val="left" w:pos="540"/>
        </w:tabs>
        <w:ind w:left="270"/>
        <w:rPr>
          <w:rFonts w:ascii="Times New Roman" w:hAnsi="Times New Roman" w:cs="Times New Roman"/>
          <w:sz w:val="24"/>
          <w:szCs w:val="24"/>
        </w:rPr>
      </w:pPr>
      <w:r w:rsidRPr="000362C5">
        <w:rPr>
          <w:rFonts w:ascii="Times New Roman" w:hAnsi="Times New Roman" w:cs="Times New Roman"/>
          <w:sz w:val="24"/>
          <w:szCs w:val="24"/>
        </w:rPr>
        <w:t xml:space="preserve">Special Reserve </w:t>
      </w:r>
    </w:p>
    <w:p w14:paraId="68FF86CC" w14:textId="77777777" w:rsidR="000362C5" w:rsidRDefault="000362C5" w:rsidP="000362C5">
      <w:pPr>
        <w:pStyle w:val="Heading2"/>
        <w:tabs>
          <w:tab w:val="left" w:pos="540"/>
        </w:tabs>
        <w:ind w:left="270" w:firstLine="0"/>
      </w:pPr>
    </w:p>
    <w:p w14:paraId="3F17C0BB" w14:textId="7FEDE856" w:rsidR="000362C5" w:rsidRPr="000362C5" w:rsidRDefault="000362C5" w:rsidP="000362C5">
      <w:pPr>
        <w:pStyle w:val="Heading2"/>
        <w:tabs>
          <w:tab w:val="left" w:pos="540"/>
        </w:tabs>
        <w:ind w:left="270" w:right="140" w:firstLine="0"/>
        <w:jc w:val="both"/>
        <w:rPr>
          <w:rFonts w:ascii="Times New Roman" w:hAnsi="Times New Roman" w:cs="Times New Roman"/>
          <w:b w:val="0"/>
          <w:bCs w:val="0"/>
          <w:sz w:val="24"/>
          <w:szCs w:val="24"/>
        </w:rPr>
      </w:pPr>
      <w:r w:rsidRPr="000362C5">
        <w:rPr>
          <w:rFonts w:ascii="Times New Roman" w:hAnsi="Times New Roman" w:cs="Times New Roman"/>
          <w:b w:val="0"/>
          <w:bCs w:val="0"/>
          <w:sz w:val="24"/>
          <w:szCs w:val="24"/>
        </w:rPr>
        <w:t>As per Section 29C of the National Housing Bank Act, 1987, the Company is required to transfer at least 20% of its net profits every year to a reserve before any dividend is declared. For this purpose, any Special Reserve created by the Company under Section 36 (1) (viii) of the Income-tax Act, 1961 is considered to be an eligible transfer.</w:t>
      </w:r>
    </w:p>
    <w:p w14:paraId="64F73555" w14:textId="77777777" w:rsidR="000362C5" w:rsidRDefault="000362C5" w:rsidP="000362C5">
      <w:pPr>
        <w:pStyle w:val="Heading2"/>
        <w:tabs>
          <w:tab w:val="left" w:pos="540"/>
        </w:tabs>
        <w:ind w:left="270" w:firstLine="0"/>
        <w:rPr>
          <w:rFonts w:ascii="Times New Roman" w:hAnsi="Times New Roman" w:cs="Times New Roman"/>
          <w:sz w:val="24"/>
          <w:szCs w:val="24"/>
        </w:rPr>
      </w:pPr>
    </w:p>
    <w:p w14:paraId="3FA8D740" w14:textId="6F2A2699" w:rsidR="003708DA" w:rsidRPr="00AA47AC" w:rsidRDefault="003708DA" w:rsidP="0035023E">
      <w:pPr>
        <w:pStyle w:val="Heading2"/>
        <w:numPr>
          <w:ilvl w:val="0"/>
          <w:numId w:val="3"/>
        </w:numPr>
        <w:tabs>
          <w:tab w:val="left" w:pos="540"/>
        </w:tabs>
        <w:ind w:left="270"/>
        <w:rPr>
          <w:rFonts w:ascii="Times New Roman" w:hAnsi="Times New Roman" w:cs="Times New Roman"/>
          <w:sz w:val="24"/>
          <w:szCs w:val="24"/>
        </w:rPr>
      </w:pPr>
      <w:r w:rsidRPr="00AA47AC">
        <w:rPr>
          <w:rFonts w:ascii="Times New Roman" w:hAnsi="Times New Roman" w:cs="Times New Roman"/>
          <w:sz w:val="24"/>
          <w:szCs w:val="24"/>
        </w:rPr>
        <w:t>Contingent</w:t>
      </w:r>
      <w:r w:rsidRPr="00AA47AC">
        <w:rPr>
          <w:rFonts w:ascii="Times New Roman" w:hAnsi="Times New Roman" w:cs="Times New Roman"/>
          <w:spacing w:val="-1"/>
          <w:sz w:val="24"/>
          <w:szCs w:val="24"/>
        </w:rPr>
        <w:t xml:space="preserve"> </w:t>
      </w:r>
      <w:r w:rsidRPr="00AA47AC">
        <w:rPr>
          <w:rFonts w:ascii="Times New Roman" w:hAnsi="Times New Roman" w:cs="Times New Roman"/>
          <w:sz w:val="24"/>
          <w:szCs w:val="24"/>
        </w:rPr>
        <w:t>Liabilities</w:t>
      </w:r>
    </w:p>
    <w:p w14:paraId="4B5688DE" w14:textId="77777777" w:rsidR="003708DA" w:rsidRPr="003F104E" w:rsidRDefault="003708DA" w:rsidP="003708DA">
      <w:pPr>
        <w:pStyle w:val="BodyText"/>
        <w:tabs>
          <w:tab w:val="left" w:pos="540"/>
        </w:tabs>
        <w:spacing w:before="1"/>
        <w:ind w:left="270" w:hanging="270"/>
        <w:rPr>
          <w:rFonts w:ascii="Times New Roman" w:hAnsi="Times New Roman" w:cs="Times New Roman"/>
          <w:b/>
          <w:sz w:val="20"/>
          <w:szCs w:val="20"/>
        </w:rPr>
      </w:pPr>
    </w:p>
    <w:p w14:paraId="51CD8596" w14:textId="77777777" w:rsidR="003708DA" w:rsidRDefault="003708DA" w:rsidP="003708DA">
      <w:pPr>
        <w:pStyle w:val="BodyText"/>
        <w:tabs>
          <w:tab w:val="left" w:pos="540"/>
        </w:tabs>
        <w:ind w:left="270" w:right="117" w:hanging="270"/>
        <w:jc w:val="both"/>
        <w:rPr>
          <w:rFonts w:ascii="Times New Roman" w:hAnsi="Times New Roman" w:cs="Times New Roman"/>
          <w:sz w:val="24"/>
          <w:szCs w:val="24"/>
        </w:rPr>
      </w:pPr>
      <w:r>
        <w:rPr>
          <w:rFonts w:ascii="Times New Roman" w:hAnsi="Times New Roman" w:cs="Times New Roman"/>
          <w:sz w:val="24"/>
          <w:szCs w:val="24"/>
        </w:rPr>
        <w:tab/>
      </w:r>
      <w:r w:rsidRPr="00AA47AC">
        <w:rPr>
          <w:rFonts w:ascii="Times New Roman" w:hAnsi="Times New Roman" w:cs="Times New Roman"/>
          <w:sz w:val="24"/>
          <w:szCs w:val="24"/>
        </w:rPr>
        <w:t xml:space="preserve">Contingent Liabilities, if any, shall be disclosed in the notes of accounts. Provision shall be made in the accounts in respect of those contingencies which are likely to materialize into liabilities after the year end till the adoption of accounts by Board of Directors and which have </w:t>
      </w:r>
      <w:r w:rsidRPr="00AA47AC">
        <w:rPr>
          <w:rFonts w:ascii="Times New Roman" w:hAnsi="Times New Roman" w:cs="Times New Roman"/>
          <w:sz w:val="24"/>
          <w:szCs w:val="24"/>
        </w:rPr>
        <w:lastRenderedPageBreak/>
        <w:t>material effect on the position stated in the Balance Sheet.</w:t>
      </w:r>
    </w:p>
    <w:p w14:paraId="5BFC8C93" w14:textId="77777777" w:rsidR="002961CC" w:rsidRPr="00AA47AC" w:rsidRDefault="002961CC" w:rsidP="003708DA">
      <w:pPr>
        <w:pStyle w:val="BodyText"/>
        <w:tabs>
          <w:tab w:val="left" w:pos="540"/>
        </w:tabs>
        <w:ind w:left="270" w:right="117" w:hanging="270"/>
        <w:jc w:val="both"/>
        <w:rPr>
          <w:rFonts w:ascii="Times New Roman" w:hAnsi="Times New Roman" w:cs="Times New Roman"/>
          <w:sz w:val="24"/>
          <w:szCs w:val="24"/>
        </w:rPr>
      </w:pPr>
    </w:p>
    <w:p w14:paraId="2828ADFB" w14:textId="0B871602" w:rsidR="003708DA" w:rsidRPr="0035023E" w:rsidRDefault="003708DA" w:rsidP="0035023E">
      <w:pPr>
        <w:pStyle w:val="BodyText"/>
        <w:numPr>
          <w:ilvl w:val="0"/>
          <w:numId w:val="2"/>
        </w:numPr>
        <w:tabs>
          <w:tab w:val="left" w:pos="270"/>
        </w:tabs>
        <w:ind w:left="270" w:right="120"/>
        <w:jc w:val="both"/>
        <w:rPr>
          <w:rFonts w:ascii="Times New Roman" w:hAnsi="Times New Roman" w:cs="Times New Roman"/>
          <w:b/>
          <w:bCs/>
          <w:color w:val="181818"/>
          <w:sz w:val="24"/>
          <w:szCs w:val="24"/>
        </w:rPr>
      </w:pPr>
      <w:r w:rsidRPr="0035023E">
        <w:rPr>
          <w:rFonts w:ascii="Times New Roman" w:hAnsi="Times New Roman" w:cs="Times New Roman"/>
          <w:b/>
          <w:bCs/>
          <w:color w:val="181818"/>
          <w:sz w:val="24"/>
          <w:szCs w:val="24"/>
        </w:rPr>
        <w:t>PROFIT AND LOSS ITEMS</w:t>
      </w:r>
    </w:p>
    <w:p w14:paraId="30D3734F" w14:textId="77777777" w:rsidR="003708DA" w:rsidRPr="00AA47AC" w:rsidRDefault="003708DA" w:rsidP="00AA47AC">
      <w:pPr>
        <w:pStyle w:val="BodyText"/>
        <w:tabs>
          <w:tab w:val="left" w:pos="270"/>
        </w:tabs>
        <w:ind w:left="270" w:right="120" w:hanging="270"/>
        <w:jc w:val="both"/>
        <w:rPr>
          <w:rFonts w:ascii="Times New Roman" w:hAnsi="Times New Roman" w:cs="Times New Roman"/>
          <w:sz w:val="24"/>
          <w:szCs w:val="24"/>
        </w:rPr>
      </w:pPr>
    </w:p>
    <w:p w14:paraId="273694C0" w14:textId="77777777" w:rsidR="00854A3E" w:rsidRPr="00AA47AC" w:rsidRDefault="00795907" w:rsidP="0035023E">
      <w:pPr>
        <w:pStyle w:val="Heading2"/>
        <w:numPr>
          <w:ilvl w:val="1"/>
          <w:numId w:val="3"/>
        </w:numPr>
        <w:tabs>
          <w:tab w:val="left" w:pos="630"/>
        </w:tabs>
        <w:ind w:left="270" w:hanging="361"/>
        <w:rPr>
          <w:rFonts w:ascii="Times New Roman" w:hAnsi="Times New Roman" w:cs="Times New Roman"/>
          <w:sz w:val="24"/>
          <w:szCs w:val="24"/>
        </w:rPr>
      </w:pPr>
      <w:r w:rsidRPr="00AA47AC">
        <w:rPr>
          <w:rFonts w:ascii="Times New Roman" w:hAnsi="Times New Roman" w:cs="Times New Roman"/>
          <w:sz w:val="24"/>
          <w:szCs w:val="24"/>
        </w:rPr>
        <w:t>Depreciation on Fixed</w:t>
      </w:r>
      <w:r w:rsidRPr="00AA47AC">
        <w:rPr>
          <w:rFonts w:ascii="Times New Roman" w:hAnsi="Times New Roman" w:cs="Times New Roman"/>
          <w:spacing w:val="-2"/>
          <w:sz w:val="24"/>
          <w:szCs w:val="24"/>
        </w:rPr>
        <w:t xml:space="preserve"> </w:t>
      </w:r>
      <w:r w:rsidRPr="00AA47AC">
        <w:rPr>
          <w:rFonts w:ascii="Times New Roman" w:hAnsi="Times New Roman" w:cs="Times New Roman"/>
          <w:sz w:val="24"/>
          <w:szCs w:val="24"/>
        </w:rPr>
        <w:t>assets</w:t>
      </w:r>
    </w:p>
    <w:p w14:paraId="73F54398" w14:textId="77777777" w:rsidR="00854A3E" w:rsidRPr="00AA47AC" w:rsidRDefault="00854A3E" w:rsidP="00165E8D">
      <w:pPr>
        <w:pStyle w:val="BodyText"/>
        <w:tabs>
          <w:tab w:val="left" w:pos="630"/>
        </w:tabs>
        <w:spacing w:before="1"/>
        <w:ind w:left="720"/>
        <w:rPr>
          <w:rFonts w:ascii="Times New Roman" w:hAnsi="Times New Roman" w:cs="Times New Roman"/>
          <w:b/>
          <w:sz w:val="24"/>
          <w:szCs w:val="24"/>
        </w:rPr>
      </w:pPr>
    </w:p>
    <w:p w14:paraId="7D7448C4" w14:textId="77777777" w:rsidR="000362C5" w:rsidRDefault="00B14D0C" w:rsidP="000362C5">
      <w:pPr>
        <w:pStyle w:val="ListParagraph"/>
        <w:numPr>
          <w:ilvl w:val="0"/>
          <w:numId w:val="4"/>
        </w:numPr>
        <w:ind w:left="630"/>
        <w:jc w:val="both"/>
        <w:rPr>
          <w:rFonts w:ascii="Times New Roman" w:hAnsi="Times New Roman" w:cs="Times New Roman"/>
          <w:sz w:val="24"/>
          <w:szCs w:val="24"/>
        </w:rPr>
      </w:pPr>
      <w:r w:rsidRPr="00B14D0C">
        <w:rPr>
          <w:rFonts w:ascii="Times New Roman" w:hAnsi="Times New Roman" w:cs="Times New Roman"/>
          <w:sz w:val="24"/>
          <w:szCs w:val="24"/>
        </w:rPr>
        <w:t>Depreciable amount of an asset is the cost of an asset less its estimated residual value.</w:t>
      </w:r>
    </w:p>
    <w:p w14:paraId="54D0355F" w14:textId="77777777" w:rsidR="000362C5" w:rsidRDefault="000362C5" w:rsidP="000362C5">
      <w:pPr>
        <w:pStyle w:val="ListParagraph"/>
        <w:ind w:left="630" w:firstLine="0"/>
        <w:jc w:val="both"/>
        <w:rPr>
          <w:rFonts w:ascii="Times New Roman" w:hAnsi="Times New Roman" w:cs="Times New Roman"/>
          <w:sz w:val="24"/>
          <w:szCs w:val="24"/>
        </w:rPr>
      </w:pPr>
    </w:p>
    <w:p w14:paraId="4DD8DECE" w14:textId="711885C1" w:rsidR="00B14D0C" w:rsidRPr="000362C5" w:rsidRDefault="00B14D0C" w:rsidP="000362C5">
      <w:pPr>
        <w:pStyle w:val="ListParagraph"/>
        <w:numPr>
          <w:ilvl w:val="0"/>
          <w:numId w:val="4"/>
        </w:numPr>
        <w:ind w:left="630"/>
        <w:jc w:val="both"/>
        <w:rPr>
          <w:rFonts w:ascii="Times New Roman" w:hAnsi="Times New Roman" w:cs="Times New Roman"/>
          <w:sz w:val="24"/>
          <w:szCs w:val="24"/>
        </w:rPr>
      </w:pPr>
      <w:r w:rsidRPr="000362C5">
        <w:rPr>
          <w:rFonts w:ascii="Times New Roman" w:hAnsi="Times New Roman" w:cs="Times New Roman"/>
          <w:sz w:val="24"/>
          <w:szCs w:val="24"/>
        </w:rPr>
        <w:t>Depreciation on fixed assets other than freehold land shall be calculated on WDV Method prescribed under the schedule II to the companies Act, 2013.</w:t>
      </w:r>
    </w:p>
    <w:p w14:paraId="13E868B8" w14:textId="77777777" w:rsidR="00B14D0C" w:rsidRPr="00AA47AC" w:rsidRDefault="00B14D0C" w:rsidP="00B14D0C">
      <w:pPr>
        <w:pStyle w:val="BodyText"/>
        <w:tabs>
          <w:tab w:val="left" w:pos="630"/>
        </w:tabs>
        <w:ind w:left="270" w:right="120"/>
        <w:jc w:val="both"/>
        <w:rPr>
          <w:rFonts w:ascii="Times New Roman" w:hAnsi="Times New Roman" w:cs="Times New Roman"/>
          <w:sz w:val="24"/>
          <w:szCs w:val="24"/>
        </w:rPr>
      </w:pPr>
    </w:p>
    <w:p w14:paraId="56061330" w14:textId="77777777" w:rsidR="00B14D0C" w:rsidRPr="00AA47AC" w:rsidRDefault="00B14D0C" w:rsidP="000362C5">
      <w:pPr>
        <w:pStyle w:val="BodyText"/>
        <w:tabs>
          <w:tab w:val="left" w:pos="900"/>
        </w:tabs>
        <w:ind w:left="630" w:right="120"/>
        <w:jc w:val="both"/>
        <w:rPr>
          <w:rFonts w:ascii="Times New Roman" w:hAnsi="Times New Roman" w:cs="Times New Roman"/>
          <w:sz w:val="24"/>
          <w:szCs w:val="24"/>
        </w:rPr>
      </w:pPr>
      <w:r w:rsidRPr="00AA47AC">
        <w:rPr>
          <w:rFonts w:ascii="Times New Roman" w:hAnsi="Times New Roman" w:cs="Times New Roman"/>
          <w:sz w:val="24"/>
          <w:szCs w:val="24"/>
        </w:rPr>
        <w:t xml:space="preserve">Depreciation on additions to fixed assets shall be provided on a pro-rata basis from the date the asset is put to use. </w:t>
      </w:r>
    </w:p>
    <w:p w14:paraId="4E3D0B79" w14:textId="77777777" w:rsidR="00B14D0C" w:rsidRPr="00B14D0C" w:rsidRDefault="00B14D0C" w:rsidP="000362C5">
      <w:pPr>
        <w:pStyle w:val="ListParagraph"/>
        <w:tabs>
          <w:tab w:val="left" w:pos="900"/>
        </w:tabs>
        <w:ind w:left="630" w:firstLine="0"/>
        <w:jc w:val="both"/>
        <w:rPr>
          <w:rFonts w:ascii="Times New Roman" w:hAnsi="Times New Roman" w:cs="Times New Roman"/>
          <w:sz w:val="24"/>
          <w:szCs w:val="24"/>
        </w:rPr>
      </w:pPr>
    </w:p>
    <w:p w14:paraId="16EE043D" w14:textId="77777777" w:rsidR="00B14D0C" w:rsidRPr="00B14D0C" w:rsidRDefault="00B14D0C" w:rsidP="000362C5">
      <w:pPr>
        <w:pStyle w:val="ListParagraph"/>
        <w:tabs>
          <w:tab w:val="left" w:pos="900"/>
        </w:tabs>
        <w:ind w:left="630" w:firstLine="0"/>
        <w:jc w:val="both"/>
        <w:rPr>
          <w:rFonts w:ascii="Times New Roman" w:hAnsi="Times New Roman" w:cs="Times New Roman"/>
          <w:sz w:val="24"/>
          <w:szCs w:val="24"/>
        </w:rPr>
      </w:pPr>
      <w:r w:rsidRPr="00B14D0C">
        <w:rPr>
          <w:rFonts w:ascii="Times New Roman" w:hAnsi="Times New Roman" w:cs="Times New Roman"/>
          <w:sz w:val="24"/>
          <w:szCs w:val="24"/>
        </w:rPr>
        <w:t>Depreciation on Property, Plant and Equipment, including assets taken on lease, other than freehold land is charged based on Written down method on an estimated useful life as prescribed in Schedule II to the Companies Act, 2013. The useful life of asset taken into consideration as per Schedule II for the purpose of calculating depreciation is as follows: -</w:t>
      </w:r>
    </w:p>
    <w:tbl>
      <w:tblPr>
        <w:tblStyle w:val="GridTable5Dark-Accent51"/>
        <w:tblW w:w="9000" w:type="dxa"/>
        <w:tblInd w:w="738" w:type="dxa"/>
        <w:tblLook w:val="04A0" w:firstRow="1" w:lastRow="0" w:firstColumn="1" w:lastColumn="0" w:noHBand="0" w:noVBand="1"/>
      </w:tblPr>
      <w:tblGrid>
        <w:gridCol w:w="6480"/>
        <w:gridCol w:w="2520"/>
      </w:tblGrid>
      <w:tr w:rsidR="00B14D0C" w:rsidRPr="00523F50" w14:paraId="1A75FB23" w14:textId="77777777" w:rsidTr="000362C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480" w:type="dxa"/>
          </w:tcPr>
          <w:p w14:paraId="4425657C" w14:textId="77777777" w:rsidR="00B14D0C" w:rsidRPr="00523F50" w:rsidRDefault="00B14D0C" w:rsidP="00745FAC">
            <w:pPr>
              <w:pStyle w:val="ListParagraph"/>
              <w:spacing w:line="276" w:lineRule="auto"/>
              <w:ind w:left="0"/>
              <w:jc w:val="center"/>
              <w:rPr>
                <w:rFonts w:cstheme="minorHAnsi"/>
                <w:b w:val="0"/>
                <w:color w:val="000000" w:themeColor="text1"/>
                <w:sz w:val="20"/>
                <w:szCs w:val="20"/>
              </w:rPr>
            </w:pPr>
            <w:r w:rsidRPr="00523F50">
              <w:rPr>
                <w:rFonts w:cstheme="minorHAnsi"/>
                <w:color w:val="000000" w:themeColor="text1"/>
                <w:sz w:val="20"/>
                <w:szCs w:val="20"/>
              </w:rPr>
              <w:t>Particulars of Property, Plant &amp; Equipment</w:t>
            </w:r>
          </w:p>
        </w:tc>
        <w:tc>
          <w:tcPr>
            <w:tcW w:w="2520" w:type="dxa"/>
          </w:tcPr>
          <w:p w14:paraId="69B33144" w14:textId="77777777" w:rsidR="00B14D0C" w:rsidRPr="00523F50" w:rsidRDefault="00B14D0C" w:rsidP="00745FAC">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0"/>
                <w:szCs w:val="20"/>
              </w:rPr>
            </w:pPr>
            <w:r w:rsidRPr="00523F50">
              <w:rPr>
                <w:rFonts w:cstheme="minorHAnsi"/>
                <w:color w:val="000000" w:themeColor="text1"/>
                <w:sz w:val="20"/>
                <w:szCs w:val="20"/>
              </w:rPr>
              <w:t>Useful life (in years)</w:t>
            </w:r>
          </w:p>
        </w:tc>
      </w:tr>
      <w:tr w:rsidR="00B14D0C" w:rsidRPr="00523F50" w14:paraId="3508D9A1" w14:textId="77777777" w:rsidTr="000362C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480" w:type="dxa"/>
          </w:tcPr>
          <w:p w14:paraId="3B3023BD" w14:textId="77777777" w:rsidR="00B14D0C" w:rsidRPr="00523F50" w:rsidRDefault="00B14D0C" w:rsidP="00B14D0C">
            <w:pPr>
              <w:pStyle w:val="ListParagraph"/>
              <w:spacing w:line="276" w:lineRule="auto"/>
              <w:ind w:left="336"/>
              <w:jc w:val="both"/>
              <w:rPr>
                <w:rFonts w:cstheme="minorHAnsi"/>
                <w:color w:val="000000" w:themeColor="text1"/>
                <w:sz w:val="20"/>
                <w:szCs w:val="20"/>
              </w:rPr>
            </w:pPr>
            <w:r w:rsidRPr="00523F50">
              <w:rPr>
                <w:rFonts w:cstheme="minorHAnsi"/>
                <w:color w:val="000000" w:themeColor="text1"/>
                <w:sz w:val="20"/>
                <w:szCs w:val="20"/>
              </w:rPr>
              <w:t>Furniture &amp; fixtures</w:t>
            </w:r>
          </w:p>
        </w:tc>
        <w:tc>
          <w:tcPr>
            <w:tcW w:w="2520" w:type="dxa"/>
          </w:tcPr>
          <w:p w14:paraId="40D7E213" w14:textId="77777777" w:rsidR="00B14D0C" w:rsidRPr="00523F50" w:rsidRDefault="00B14D0C" w:rsidP="00745FAC">
            <w:pPr>
              <w:pStyle w:val="ListParagraph"/>
              <w:spacing w:line="276" w:lineRule="auto"/>
              <w:ind w:left="0"/>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523F50">
              <w:rPr>
                <w:rFonts w:cstheme="minorHAnsi"/>
                <w:color w:val="000000" w:themeColor="text1"/>
                <w:sz w:val="20"/>
                <w:szCs w:val="20"/>
              </w:rPr>
              <w:t>10</w:t>
            </w:r>
          </w:p>
        </w:tc>
      </w:tr>
      <w:tr w:rsidR="00B14D0C" w:rsidRPr="00523F50" w14:paraId="1F2D8E30" w14:textId="77777777" w:rsidTr="000362C5">
        <w:trPr>
          <w:trHeight w:val="297"/>
        </w:trPr>
        <w:tc>
          <w:tcPr>
            <w:cnfStyle w:val="001000000000" w:firstRow="0" w:lastRow="0" w:firstColumn="1" w:lastColumn="0" w:oddVBand="0" w:evenVBand="0" w:oddHBand="0" w:evenHBand="0" w:firstRowFirstColumn="0" w:firstRowLastColumn="0" w:lastRowFirstColumn="0" w:lastRowLastColumn="0"/>
            <w:tcW w:w="6480" w:type="dxa"/>
          </w:tcPr>
          <w:p w14:paraId="2F91D074" w14:textId="77777777" w:rsidR="00B14D0C" w:rsidRPr="00523F50" w:rsidRDefault="00B14D0C" w:rsidP="00B14D0C">
            <w:pPr>
              <w:pStyle w:val="ListParagraph"/>
              <w:spacing w:line="276" w:lineRule="auto"/>
              <w:ind w:left="336"/>
              <w:jc w:val="both"/>
              <w:rPr>
                <w:rFonts w:cstheme="minorHAnsi"/>
                <w:color w:val="000000" w:themeColor="text1"/>
                <w:sz w:val="20"/>
                <w:szCs w:val="20"/>
              </w:rPr>
            </w:pPr>
            <w:r w:rsidRPr="00523F50">
              <w:rPr>
                <w:rFonts w:cstheme="minorHAnsi"/>
                <w:color w:val="000000" w:themeColor="text1"/>
                <w:sz w:val="20"/>
                <w:szCs w:val="20"/>
              </w:rPr>
              <w:t>Vehicles</w:t>
            </w:r>
          </w:p>
        </w:tc>
        <w:tc>
          <w:tcPr>
            <w:tcW w:w="2520" w:type="dxa"/>
          </w:tcPr>
          <w:p w14:paraId="07F6B940" w14:textId="77777777" w:rsidR="00B14D0C" w:rsidRPr="00523F50" w:rsidRDefault="00B14D0C" w:rsidP="00745FAC">
            <w:pPr>
              <w:pStyle w:val="ListParagraph"/>
              <w:spacing w:line="276" w:lineRule="auto"/>
              <w:ind w:left="0"/>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523F50">
              <w:rPr>
                <w:rFonts w:cstheme="minorHAnsi"/>
                <w:color w:val="000000" w:themeColor="text1"/>
                <w:sz w:val="20"/>
                <w:szCs w:val="20"/>
              </w:rPr>
              <w:t>8</w:t>
            </w:r>
          </w:p>
        </w:tc>
      </w:tr>
      <w:tr w:rsidR="00B14D0C" w:rsidRPr="00523F50" w14:paraId="78B0815D" w14:textId="77777777" w:rsidTr="000362C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480" w:type="dxa"/>
          </w:tcPr>
          <w:p w14:paraId="31B49B49" w14:textId="77777777" w:rsidR="00B14D0C" w:rsidRPr="00523F50" w:rsidRDefault="00B14D0C" w:rsidP="00B14D0C">
            <w:pPr>
              <w:pStyle w:val="ListParagraph"/>
              <w:spacing w:line="276" w:lineRule="auto"/>
              <w:ind w:left="336"/>
              <w:jc w:val="both"/>
              <w:rPr>
                <w:rFonts w:cstheme="minorHAnsi"/>
                <w:color w:val="000000" w:themeColor="text1"/>
                <w:sz w:val="20"/>
                <w:szCs w:val="20"/>
              </w:rPr>
            </w:pPr>
            <w:r w:rsidRPr="00523F50">
              <w:rPr>
                <w:rFonts w:cstheme="minorHAnsi"/>
                <w:color w:val="000000" w:themeColor="text1"/>
                <w:sz w:val="20"/>
                <w:szCs w:val="20"/>
              </w:rPr>
              <w:t xml:space="preserve">Office </w:t>
            </w:r>
            <w:r>
              <w:rPr>
                <w:rFonts w:cstheme="minorHAnsi"/>
                <w:color w:val="000000" w:themeColor="text1"/>
                <w:sz w:val="20"/>
                <w:szCs w:val="20"/>
              </w:rPr>
              <w:t>E</w:t>
            </w:r>
            <w:r w:rsidRPr="00523F50">
              <w:rPr>
                <w:rFonts w:cstheme="minorHAnsi"/>
                <w:color w:val="000000" w:themeColor="text1"/>
                <w:sz w:val="20"/>
                <w:szCs w:val="20"/>
              </w:rPr>
              <w:t>quipments</w:t>
            </w:r>
            <w:r>
              <w:rPr>
                <w:rFonts w:cstheme="minorHAnsi"/>
                <w:color w:val="000000" w:themeColor="text1"/>
                <w:sz w:val="20"/>
                <w:szCs w:val="20"/>
              </w:rPr>
              <w:t>*</w:t>
            </w:r>
          </w:p>
        </w:tc>
        <w:tc>
          <w:tcPr>
            <w:tcW w:w="2520" w:type="dxa"/>
          </w:tcPr>
          <w:p w14:paraId="78B5FCCF" w14:textId="77777777" w:rsidR="00B14D0C" w:rsidRPr="00523F50" w:rsidRDefault="00B14D0C" w:rsidP="00745FAC">
            <w:pPr>
              <w:pStyle w:val="ListParagraph"/>
              <w:spacing w:line="276" w:lineRule="auto"/>
              <w:ind w:left="0"/>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523F50">
              <w:rPr>
                <w:rFonts w:cstheme="minorHAnsi"/>
                <w:color w:val="000000" w:themeColor="text1"/>
                <w:sz w:val="20"/>
                <w:szCs w:val="20"/>
              </w:rPr>
              <w:t>5</w:t>
            </w:r>
          </w:p>
        </w:tc>
      </w:tr>
      <w:tr w:rsidR="00B14D0C" w:rsidRPr="00523F50" w14:paraId="7B9BC8FA" w14:textId="77777777" w:rsidTr="000362C5">
        <w:trPr>
          <w:trHeight w:val="284"/>
        </w:trPr>
        <w:tc>
          <w:tcPr>
            <w:cnfStyle w:val="001000000000" w:firstRow="0" w:lastRow="0" w:firstColumn="1" w:lastColumn="0" w:oddVBand="0" w:evenVBand="0" w:oddHBand="0" w:evenHBand="0" w:firstRowFirstColumn="0" w:firstRowLastColumn="0" w:lastRowFirstColumn="0" w:lastRowLastColumn="0"/>
            <w:tcW w:w="6480" w:type="dxa"/>
          </w:tcPr>
          <w:p w14:paraId="265FC9D8" w14:textId="77777777" w:rsidR="00B14D0C" w:rsidRPr="00523F50" w:rsidRDefault="00B14D0C" w:rsidP="00B14D0C">
            <w:pPr>
              <w:pStyle w:val="ListParagraph"/>
              <w:spacing w:line="276" w:lineRule="auto"/>
              <w:ind w:left="336"/>
              <w:jc w:val="both"/>
              <w:rPr>
                <w:rFonts w:cstheme="minorHAnsi"/>
                <w:color w:val="000000" w:themeColor="text1"/>
                <w:sz w:val="20"/>
                <w:szCs w:val="20"/>
              </w:rPr>
            </w:pPr>
            <w:r w:rsidRPr="00523F50">
              <w:rPr>
                <w:rFonts w:cstheme="minorHAnsi"/>
                <w:color w:val="000000" w:themeColor="text1"/>
                <w:sz w:val="20"/>
                <w:szCs w:val="20"/>
              </w:rPr>
              <w:t>Computers</w:t>
            </w:r>
          </w:p>
        </w:tc>
        <w:tc>
          <w:tcPr>
            <w:tcW w:w="2520" w:type="dxa"/>
          </w:tcPr>
          <w:p w14:paraId="43CF1D17" w14:textId="77777777" w:rsidR="00B14D0C" w:rsidRPr="00523F50" w:rsidRDefault="00B14D0C" w:rsidP="00745FAC">
            <w:pPr>
              <w:pStyle w:val="ListParagraph"/>
              <w:spacing w:line="276" w:lineRule="auto"/>
              <w:ind w:left="0"/>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523F50">
              <w:rPr>
                <w:rFonts w:cstheme="minorHAnsi"/>
                <w:color w:val="000000" w:themeColor="text1"/>
                <w:sz w:val="20"/>
                <w:szCs w:val="20"/>
              </w:rPr>
              <w:t>3</w:t>
            </w:r>
          </w:p>
        </w:tc>
      </w:tr>
      <w:tr w:rsidR="006D24D9" w:rsidRPr="00523F50" w14:paraId="6095605B" w14:textId="77777777" w:rsidTr="000362C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480" w:type="dxa"/>
          </w:tcPr>
          <w:p w14:paraId="2DCFC309" w14:textId="49842C77" w:rsidR="006D24D9" w:rsidRPr="00523F50" w:rsidRDefault="006D24D9" w:rsidP="00B14D0C">
            <w:pPr>
              <w:pStyle w:val="ListParagraph"/>
              <w:spacing w:line="276" w:lineRule="auto"/>
              <w:ind w:left="336"/>
              <w:jc w:val="both"/>
              <w:rPr>
                <w:rFonts w:cstheme="minorHAnsi"/>
                <w:color w:val="000000" w:themeColor="text1"/>
                <w:sz w:val="20"/>
                <w:szCs w:val="20"/>
              </w:rPr>
            </w:pPr>
            <w:r>
              <w:rPr>
                <w:rFonts w:cstheme="minorHAnsi"/>
                <w:color w:val="000000" w:themeColor="text1"/>
                <w:sz w:val="20"/>
                <w:szCs w:val="20"/>
              </w:rPr>
              <w:t xml:space="preserve">Plant &amp; Machinery </w:t>
            </w:r>
          </w:p>
        </w:tc>
        <w:tc>
          <w:tcPr>
            <w:tcW w:w="2520" w:type="dxa"/>
          </w:tcPr>
          <w:p w14:paraId="1679FAC0" w14:textId="6EAABB7A" w:rsidR="006D24D9" w:rsidRPr="00523F50" w:rsidRDefault="006D24D9" w:rsidP="00745FAC">
            <w:pPr>
              <w:pStyle w:val="ListParagraph"/>
              <w:spacing w:line="276" w:lineRule="auto"/>
              <w:ind w:left="0"/>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15</w:t>
            </w:r>
          </w:p>
        </w:tc>
      </w:tr>
      <w:tr w:rsidR="00B13FBA" w:rsidRPr="00523F50" w14:paraId="6805FADA" w14:textId="77777777" w:rsidTr="000362C5">
        <w:trPr>
          <w:trHeight w:val="284"/>
        </w:trPr>
        <w:tc>
          <w:tcPr>
            <w:cnfStyle w:val="001000000000" w:firstRow="0" w:lastRow="0" w:firstColumn="1" w:lastColumn="0" w:oddVBand="0" w:evenVBand="0" w:oddHBand="0" w:evenHBand="0" w:firstRowFirstColumn="0" w:firstRowLastColumn="0" w:lastRowFirstColumn="0" w:lastRowLastColumn="0"/>
            <w:tcW w:w="6480" w:type="dxa"/>
          </w:tcPr>
          <w:p w14:paraId="58B0F716" w14:textId="4D0128C3" w:rsidR="00B13FBA" w:rsidRDefault="00B13FBA" w:rsidP="00B14D0C">
            <w:pPr>
              <w:pStyle w:val="ListParagraph"/>
              <w:spacing w:line="276" w:lineRule="auto"/>
              <w:ind w:left="336"/>
              <w:jc w:val="both"/>
              <w:rPr>
                <w:rFonts w:cstheme="minorHAnsi"/>
                <w:color w:val="000000" w:themeColor="text1"/>
                <w:sz w:val="20"/>
                <w:szCs w:val="20"/>
              </w:rPr>
            </w:pPr>
            <w:r>
              <w:rPr>
                <w:rFonts w:cstheme="minorHAnsi"/>
                <w:color w:val="000000" w:themeColor="text1"/>
                <w:sz w:val="20"/>
                <w:szCs w:val="20"/>
              </w:rPr>
              <w:t>Building</w:t>
            </w:r>
          </w:p>
        </w:tc>
        <w:tc>
          <w:tcPr>
            <w:tcW w:w="2520" w:type="dxa"/>
          </w:tcPr>
          <w:p w14:paraId="1803E21C" w14:textId="1CE8A190" w:rsidR="00B13FBA" w:rsidRDefault="005E0E8D" w:rsidP="00745FAC">
            <w:pPr>
              <w:pStyle w:val="ListParagraph"/>
              <w:spacing w:line="276" w:lineRule="auto"/>
              <w:ind w:left="0"/>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60</w:t>
            </w:r>
          </w:p>
        </w:tc>
      </w:tr>
    </w:tbl>
    <w:p w14:paraId="227A25EB" w14:textId="37F08418" w:rsidR="00B14D0C" w:rsidRPr="00B14D0C" w:rsidRDefault="00B14D0C" w:rsidP="00B14D0C">
      <w:pPr>
        <w:jc w:val="both"/>
        <w:rPr>
          <w:rFonts w:ascii="Times New Roman" w:hAnsi="Times New Roman" w:cs="Times New Roman"/>
          <w:sz w:val="24"/>
          <w:szCs w:val="24"/>
        </w:rPr>
      </w:pPr>
      <w:r>
        <w:rPr>
          <w:rFonts w:cstheme="minorHAnsi"/>
          <w:sz w:val="20"/>
          <w:szCs w:val="20"/>
        </w:rPr>
        <w:tab/>
      </w:r>
      <w:r w:rsidRPr="00B14D0C">
        <w:rPr>
          <w:rFonts w:ascii="Times New Roman" w:hAnsi="Times New Roman" w:cs="Times New Roman"/>
          <w:sz w:val="24"/>
          <w:szCs w:val="24"/>
        </w:rPr>
        <w:t>*</w:t>
      </w:r>
      <w:r>
        <w:rPr>
          <w:rFonts w:ascii="Times New Roman" w:hAnsi="Times New Roman" w:cs="Times New Roman"/>
          <w:sz w:val="24"/>
          <w:szCs w:val="24"/>
        </w:rPr>
        <w:t xml:space="preserve"> C</w:t>
      </w:r>
      <w:r w:rsidRPr="00B14D0C">
        <w:rPr>
          <w:rFonts w:ascii="Times New Roman" w:hAnsi="Times New Roman" w:cs="Times New Roman"/>
          <w:sz w:val="24"/>
          <w:szCs w:val="24"/>
        </w:rPr>
        <w:t>a</w:t>
      </w:r>
      <w:r>
        <w:rPr>
          <w:rFonts w:ascii="Times New Roman" w:hAnsi="Times New Roman" w:cs="Times New Roman"/>
          <w:sz w:val="24"/>
          <w:szCs w:val="24"/>
        </w:rPr>
        <w:t>n be taken as</w:t>
      </w:r>
      <w:r w:rsidRPr="00B14D0C">
        <w:rPr>
          <w:rFonts w:ascii="Times New Roman" w:hAnsi="Times New Roman" w:cs="Times New Roman"/>
          <w:sz w:val="24"/>
          <w:szCs w:val="24"/>
        </w:rPr>
        <w:t xml:space="preserve"> 10 years in case of those assets where management thinks fit.</w:t>
      </w:r>
    </w:p>
    <w:p w14:paraId="430D6F07" w14:textId="77777777" w:rsidR="00B14D0C" w:rsidRPr="00B14D0C" w:rsidRDefault="00B14D0C" w:rsidP="00B14D0C">
      <w:pPr>
        <w:jc w:val="both"/>
        <w:rPr>
          <w:rFonts w:ascii="Times New Roman" w:hAnsi="Times New Roman" w:cs="Times New Roman"/>
          <w:sz w:val="24"/>
          <w:szCs w:val="24"/>
        </w:rPr>
      </w:pPr>
    </w:p>
    <w:p w14:paraId="564E901B" w14:textId="77777777" w:rsidR="000362C5" w:rsidRDefault="00B14D0C" w:rsidP="000362C5">
      <w:pPr>
        <w:pStyle w:val="ListParagraph"/>
        <w:ind w:left="630" w:firstLine="0"/>
        <w:jc w:val="both"/>
        <w:rPr>
          <w:rFonts w:ascii="Times New Roman" w:hAnsi="Times New Roman" w:cs="Times New Roman"/>
          <w:sz w:val="24"/>
          <w:szCs w:val="24"/>
        </w:rPr>
      </w:pPr>
      <w:r w:rsidRPr="00B14D0C">
        <w:rPr>
          <w:rFonts w:ascii="Times New Roman" w:hAnsi="Times New Roman" w:cs="Times New Roman"/>
          <w:sz w:val="24"/>
          <w:szCs w:val="24"/>
        </w:rPr>
        <w:t>An item of Property, Plant and Equipment is derecognized upon disposal or when no future economic benefits are expected to arise from the continued use of the asset. Any gain or loss arising on the disposal or retirement of an item of Property, Plant and Equipment are determined as a difference between the sale proceeds and the carrying amount of the asset and is recognized in the profit and loss.</w:t>
      </w:r>
    </w:p>
    <w:p w14:paraId="25D01848" w14:textId="77777777" w:rsidR="000362C5" w:rsidRPr="000362C5" w:rsidRDefault="000362C5" w:rsidP="000362C5">
      <w:pPr>
        <w:pStyle w:val="ListParagraph"/>
        <w:ind w:left="270" w:firstLine="0"/>
        <w:jc w:val="both"/>
        <w:rPr>
          <w:rFonts w:ascii="Times New Roman" w:hAnsi="Times New Roman" w:cs="Times New Roman"/>
          <w:sz w:val="16"/>
          <w:szCs w:val="16"/>
        </w:rPr>
      </w:pPr>
    </w:p>
    <w:p w14:paraId="582E06C8" w14:textId="72640846" w:rsidR="00B14D0C" w:rsidRPr="00B14D0C" w:rsidRDefault="00B14D0C" w:rsidP="000362C5">
      <w:pPr>
        <w:pStyle w:val="ListParagraph"/>
        <w:ind w:left="630" w:firstLine="0"/>
        <w:jc w:val="both"/>
        <w:rPr>
          <w:rFonts w:ascii="Times New Roman" w:hAnsi="Times New Roman" w:cs="Times New Roman"/>
          <w:sz w:val="24"/>
          <w:szCs w:val="24"/>
        </w:rPr>
      </w:pPr>
      <w:r w:rsidRPr="00B14D0C">
        <w:rPr>
          <w:rFonts w:ascii="Times New Roman" w:hAnsi="Times New Roman" w:cs="Times New Roman"/>
          <w:sz w:val="24"/>
          <w:szCs w:val="24"/>
        </w:rPr>
        <w:t xml:space="preserve">At the end of each reporting period, the Company </w:t>
      </w:r>
      <w:r w:rsidR="000362C5">
        <w:rPr>
          <w:rFonts w:ascii="Times New Roman" w:hAnsi="Times New Roman" w:cs="Times New Roman"/>
          <w:sz w:val="24"/>
          <w:szCs w:val="24"/>
        </w:rPr>
        <w:t xml:space="preserve">will </w:t>
      </w:r>
      <w:r w:rsidRPr="00B14D0C">
        <w:rPr>
          <w:rFonts w:ascii="Times New Roman" w:hAnsi="Times New Roman" w:cs="Times New Roman"/>
          <w:sz w:val="24"/>
          <w:szCs w:val="24"/>
        </w:rPr>
        <w:t>review the carrying amounts of tangible and intangible assets to determine whether there is any indication that those assets have suffered an impairment loss.</w:t>
      </w:r>
    </w:p>
    <w:p w14:paraId="7878AD52" w14:textId="489E1C06" w:rsidR="00A061B5" w:rsidRPr="000362C5" w:rsidRDefault="00A061B5" w:rsidP="0035023E">
      <w:pPr>
        <w:pStyle w:val="BodyText"/>
        <w:tabs>
          <w:tab w:val="left" w:pos="630"/>
        </w:tabs>
        <w:ind w:left="270" w:right="120"/>
        <w:jc w:val="both"/>
        <w:rPr>
          <w:rFonts w:ascii="Times New Roman" w:hAnsi="Times New Roman" w:cs="Times New Roman"/>
          <w:sz w:val="18"/>
          <w:szCs w:val="18"/>
        </w:rPr>
      </w:pPr>
    </w:p>
    <w:p w14:paraId="15F7FB12" w14:textId="2662EB3F" w:rsidR="000362C5" w:rsidRDefault="000362C5" w:rsidP="000362C5">
      <w:pPr>
        <w:pStyle w:val="ListParagraph"/>
        <w:numPr>
          <w:ilvl w:val="0"/>
          <w:numId w:val="5"/>
        </w:numPr>
        <w:adjustRightInd w:val="0"/>
        <w:ind w:left="630"/>
        <w:jc w:val="both"/>
        <w:rPr>
          <w:rFonts w:ascii="Times New Roman" w:hAnsi="Times New Roman" w:cs="Times New Roman"/>
          <w:sz w:val="24"/>
          <w:szCs w:val="24"/>
        </w:rPr>
      </w:pPr>
      <w:r w:rsidRPr="000362C5">
        <w:rPr>
          <w:rFonts w:ascii="Times New Roman" w:hAnsi="Times New Roman" w:cs="Times New Roman"/>
          <w:sz w:val="24"/>
          <w:szCs w:val="24"/>
        </w:rPr>
        <w:t xml:space="preserve">Intangible assets, representing softwares are initially </w:t>
      </w:r>
      <w:r w:rsidR="000E72B8" w:rsidRPr="000362C5">
        <w:rPr>
          <w:rFonts w:ascii="Times New Roman" w:hAnsi="Times New Roman" w:cs="Times New Roman"/>
          <w:sz w:val="24"/>
          <w:szCs w:val="24"/>
        </w:rPr>
        <w:t>recognized</w:t>
      </w:r>
      <w:r w:rsidRPr="000362C5">
        <w:rPr>
          <w:rFonts w:ascii="Times New Roman" w:hAnsi="Times New Roman" w:cs="Times New Roman"/>
          <w:sz w:val="24"/>
          <w:szCs w:val="24"/>
        </w:rPr>
        <w:t xml:space="preserve"> at cost and subsequently carried </w:t>
      </w:r>
      <w:r w:rsidR="008D3C65">
        <w:rPr>
          <w:rFonts w:ascii="Times New Roman" w:hAnsi="Times New Roman" w:cs="Times New Roman"/>
          <w:sz w:val="24"/>
          <w:szCs w:val="24"/>
        </w:rPr>
        <w:t>at cost less accumulated amortiz</w:t>
      </w:r>
      <w:r w:rsidRPr="000362C5">
        <w:rPr>
          <w:rFonts w:ascii="Times New Roman" w:hAnsi="Times New Roman" w:cs="Times New Roman"/>
          <w:sz w:val="24"/>
          <w:szCs w:val="24"/>
        </w:rPr>
        <w:t>ation and accumulated impairment. T</w:t>
      </w:r>
      <w:r w:rsidR="008D3C65">
        <w:rPr>
          <w:rFonts w:ascii="Times New Roman" w:hAnsi="Times New Roman" w:cs="Times New Roman"/>
          <w:sz w:val="24"/>
          <w:szCs w:val="24"/>
        </w:rPr>
        <w:t>he intangible assets are amortiz</w:t>
      </w:r>
      <w:r w:rsidRPr="000362C5">
        <w:rPr>
          <w:rFonts w:ascii="Times New Roman" w:hAnsi="Times New Roman" w:cs="Times New Roman"/>
          <w:sz w:val="24"/>
          <w:szCs w:val="24"/>
        </w:rPr>
        <w:t>ed using the written down value method over a period of ten years, which is the Management’s estimate of its useful life. The useful lives of intangible assets are reviewed at each financial year end and adjusted prospectively, if appropriate.</w:t>
      </w:r>
    </w:p>
    <w:p w14:paraId="50BE5848" w14:textId="77777777" w:rsidR="000362C5" w:rsidRPr="000362C5" w:rsidRDefault="000362C5" w:rsidP="000362C5">
      <w:pPr>
        <w:pStyle w:val="ListParagraph"/>
        <w:adjustRightInd w:val="0"/>
        <w:ind w:left="630" w:firstLine="0"/>
        <w:jc w:val="both"/>
        <w:rPr>
          <w:rFonts w:ascii="Times New Roman" w:hAnsi="Times New Roman" w:cs="Times New Roman"/>
          <w:sz w:val="16"/>
          <w:szCs w:val="16"/>
        </w:rPr>
      </w:pPr>
    </w:p>
    <w:p w14:paraId="15A362F1" w14:textId="3D1FE784" w:rsidR="000362C5" w:rsidRPr="000362C5" w:rsidRDefault="00795907" w:rsidP="000362C5">
      <w:pPr>
        <w:pStyle w:val="ListParagraph"/>
        <w:numPr>
          <w:ilvl w:val="0"/>
          <w:numId w:val="5"/>
        </w:numPr>
        <w:adjustRightInd w:val="0"/>
        <w:ind w:left="630"/>
        <w:jc w:val="both"/>
        <w:rPr>
          <w:rFonts w:ascii="Times New Roman" w:hAnsi="Times New Roman" w:cs="Times New Roman"/>
          <w:sz w:val="24"/>
          <w:szCs w:val="24"/>
        </w:rPr>
      </w:pPr>
      <w:r w:rsidRPr="000362C5">
        <w:rPr>
          <w:rFonts w:ascii="Times New Roman" w:hAnsi="Times New Roman" w:cs="Times New Roman"/>
          <w:sz w:val="24"/>
          <w:szCs w:val="24"/>
        </w:rPr>
        <w:t xml:space="preserve">Leasehold improvements shall be </w:t>
      </w:r>
      <w:r w:rsidR="000E72B8" w:rsidRPr="000362C5">
        <w:rPr>
          <w:rFonts w:ascii="Times New Roman" w:hAnsi="Times New Roman" w:cs="Times New Roman"/>
          <w:sz w:val="24"/>
          <w:szCs w:val="24"/>
        </w:rPr>
        <w:t>amortized</w:t>
      </w:r>
      <w:r w:rsidRPr="000362C5">
        <w:rPr>
          <w:rFonts w:ascii="Times New Roman" w:hAnsi="Times New Roman" w:cs="Times New Roman"/>
          <w:sz w:val="24"/>
          <w:szCs w:val="24"/>
        </w:rPr>
        <w:t xml:space="preserve"> over the period of Lease. Depreciation on sale / deduction from fixed assets is provided for up to the date of sale / deduction, as the case may be</w:t>
      </w:r>
      <w:r w:rsidRPr="000362C5">
        <w:rPr>
          <w:rFonts w:ascii="Times New Roman" w:hAnsi="Times New Roman" w:cs="Times New Roman"/>
          <w:color w:val="181818"/>
          <w:sz w:val="24"/>
          <w:szCs w:val="24"/>
        </w:rPr>
        <w:t>.</w:t>
      </w:r>
    </w:p>
    <w:p w14:paraId="20507056" w14:textId="77777777" w:rsidR="000362C5" w:rsidRPr="000362C5" w:rsidRDefault="000362C5" w:rsidP="000362C5">
      <w:pPr>
        <w:pStyle w:val="ListParagraph"/>
        <w:rPr>
          <w:rFonts w:ascii="Times New Roman" w:hAnsi="Times New Roman" w:cs="Times New Roman"/>
          <w:sz w:val="16"/>
          <w:szCs w:val="16"/>
        </w:rPr>
      </w:pPr>
    </w:p>
    <w:p w14:paraId="67AAD8EA" w14:textId="7803369A" w:rsidR="000362C5" w:rsidRPr="000362C5" w:rsidRDefault="000362C5" w:rsidP="000362C5">
      <w:pPr>
        <w:pStyle w:val="ListParagraph"/>
        <w:numPr>
          <w:ilvl w:val="0"/>
          <w:numId w:val="5"/>
        </w:numPr>
        <w:adjustRightInd w:val="0"/>
        <w:ind w:left="630"/>
        <w:jc w:val="both"/>
        <w:rPr>
          <w:rFonts w:ascii="Times New Roman" w:hAnsi="Times New Roman" w:cs="Times New Roman"/>
          <w:sz w:val="24"/>
          <w:szCs w:val="24"/>
        </w:rPr>
      </w:pPr>
      <w:r w:rsidRPr="000362C5">
        <w:rPr>
          <w:rFonts w:ascii="Times New Roman" w:hAnsi="Times New Roman" w:cs="Times New Roman"/>
          <w:sz w:val="24"/>
          <w:szCs w:val="24"/>
        </w:rPr>
        <w:lastRenderedPageBreak/>
        <w:t>The right-of-use assets is depreciated using the straight-line method from the commencement date over the shorter of lease term or useful life of right-of-use asset</w:t>
      </w:r>
      <w:r>
        <w:rPr>
          <w:rFonts w:ascii="Times New Roman" w:hAnsi="Times New Roman" w:cs="Times New Roman"/>
          <w:sz w:val="24"/>
          <w:szCs w:val="24"/>
        </w:rPr>
        <w:t>.</w:t>
      </w:r>
    </w:p>
    <w:p w14:paraId="34E62B87" w14:textId="77777777" w:rsidR="000362C5" w:rsidRPr="000362C5" w:rsidRDefault="000362C5" w:rsidP="000362C5">
      <w:pPr>
        <w:pStyle w:val="ListParagraph"/>
        <w:rPr>
          <w:rFonts w:ascii="Times New Roman" w:hAnsi="Times New Roman" w:cs="Times New Roman"/>
          <w:sz w:val="24"/>
          <w:szCs w:val="24"/>
        </w:rPr>
      </w:pPr>
    </w:p>
    <w:p w14:paraId="78F43ED6" w14:textId="72327AF1" w:rsidR="00854A3E" w:rsidRDefault="00795907" w:rsidP="000362C5">
      <w:pPr>
        <w:pStyle w:val="ListParagraph"/>
        <w:numPr>
          <w:ilvl w:val="0"/>
          <w:numId w:val="5"/>
        </w:numPr>
        <w:adjustRightInd w:val="0"/>
        <w:ind w:left="630"/>
        <w:jc w:val="both"/>
        <w:rPr>
          <w:rFonts w:ascii="Times New Roman" w:hAnsi="Times New Roman" w:cs="Times New Roman"/>
          <w:sz w:val="24"/>
          <w:szCs w:val="24"/>
        </w:rPr>
      </w:pPr>
      <w:r w:rsidRPr="000362C5">
        <w:rPr>
          <w:rFonts w:ascii="Times New Roman" w:hAnsi="Times New Roman" w:cs="Times New Roman"/>
          <w:sz w:val="24"/>
          <w:szCs w:val="24"/>
        </w:rPr>
        <w:t>Assets costing less than Rs.5,000 each shall be fully depreciated in the year of capitalization.</w:t>
      </w:r>
    </w:p>
    <w:p w14:paraId="469F703F" w14:textId="77777777" w:rsidR="002961CC" w:rsidRPr="002961CC" w:rsidRDefault="002961CC" w:rsidP="002961CC">
      <w:pPr>
        <w:pStyle w:val="ListParagraph"/>
        <w:rPr>
          <w:rFonts w:ascii="Times New Roman" w:hAnsi="Times New Roman" w:cs="Times New Roman"/>
          <w:sz w:val="24"/>
          <w:szCs w:val="24"/>
        </w:rPr>
      </w:pPr>
    </w:p>
    <w:p w14:paraId="02A9C962" w14:textId="77777777" w:rsidR="002961CC" w:rsidRPr="000362C5" w:rsidRDefault="002961CC" w:rsidP="007A3DA9">
      <w:pPr>
        <w:pStyle w:val="ListParagraph"/>
        <w:adjustRightInd w:val="0"/>
        <w:ind w:left="630" w:firstLine="0"/>
        <w:jc w:val="both"/>
        <w:rPr>
          <w:rFonts w:ascii="Times New Roman" w:hAnsi="Times New Roman" w:cs="Times New Roman"/>
          <w:sz w:val="24"/>
          <w:szCs w:val="24"/>
        </w:rPr>
      </w:pPr>
    </w:p>
    <w:p w14:paraId="3508C307" w14:textId="77777777" w:rsidR="00854A3E" w:rsidRPr="00AA47AC" w:rsidRDefault="00795907" w:rsidP="0035023E">
      <w:pPr>
        <w:pStyle w:val="Heading2"/>
        <w:numPr>
          <w:ilvl w:val="1"/>
          <w:numId w:val="3"/>
        </w:numPr>
        <w:tabs>
          <w:tab w:val="left" w:pos="630"/>
        </w:tabs>
        <w:spacing w:before="1"/>
        <w:ind w:left="270" w:hanging="361"/>
        <w:rPr>
          <w:rFonts w:ascii="Times New Roman" w:hAnsi="Times New Roman" w:cs="Times New Roman"/>
          <w:sz w:val="24"/>
          <w:szCs w:val="24"/>
        </w:rPr>
      </w:pPr>
      <w:r w:rsidRPr="00AA47AC">
        <w:rPr>
          <w:rFonts w:ascii="Times New Roman" w:hAnsi="Times New Roman" w:cs="Times New Roman"/>
          <w:sz w:val="24"/>
          <w:szCs w:val="24"/>
        </w:rPr>
        <w:t>Revenue</w:t>
      </w:r>
      <w:r w:rsidRPr="00AA47AC">
        <w:rPr>
          <w:rFonts w:ascii="Times New Roman" w:hAnsi="Times New Roman" w:cs="Times New Roman"/>
          <w:spacing w:val="-2"/>
          <w:sz w:val="24"/>
          <w:szCs w:val="24"/>
        </w:rPr>
        <w:t xml:space="preserve"> </w:t>
      </w:r>
      <w:r w:rsidRPr="00AA47AC">
        <w:rPr>
          <w:rFonts w:ascii="Times New Roman" w:hAnsi="Times New Roman" w:cs="Times New Roman"/>
          <w:sz w:val="24"/>
          <w:szCs w:val="24"/>
        </w:rPr>
        <w:t>recognition</w:t>
      </w:r>
    </w:p>
    <w:p w14:paraId="2C2EA748" w14:textId="77777777" w:rsidR="00854A3E" w:rsidRPr="00AA47AC" w:rsidRDefault="00854A3E" w:rsidP="00AA47AC">
      <w:pPr>
        <w:pStyle w:val="BodyText"/>
        <w:ind w:left="270"/>
        <w:rPr>
          <w:rFonts w:ascii="Times New Roman" w:hAnsi="Times New Roman" w:cs="Times New Roman"/>
          <w:b/>
          <w:sz w:val="24"/>
          <w:szCs w:val="24"/>
        </w:rPr>
      </w:pPr>
    </w:p>
    <w:p w14:paraId="14D4306D" w14:textId="75A17A2B" w:rsidR="00854A3E" w:rsidRPr="00AA47AC" w:rsidRDefault="00795907" w:rsidP="00AA47AC">
      <w:pPr>
        <w:pStyle w:val="BodyText"/>
        <w:ind w:left="270" w:right="116"/>
        <w:jc w:val="both"/>
        <w:rPr>
          <w:rFonts w:ascii="Times New Roman" w:hAnsi="Times New Roman" w:cs="Times New Roman"/>
          <w:sz w:val="24"/>
          <w:szCs w:val="24"/>
        </w:rPr>
      </w:pPr>
      <w:r w:rsidRPr="00AA47AC">
        <w:rPr>
          <w:rFonts w:ascii="Times New Roman" w:hAnsi="Times New Roman" w:cs="Times New Roman"/>
          <w:sz w:val="24"/>
          <w:szCs w:val="24"/>
        </w:rPr>
        <w:t>Interest Income from financing and investing activities and others shall be recogni</w:t>
      </w:r>
      <w:r w:rsidR="000362C5">
        <w:rPr>
          <w:rFonts w:ascii="Times New Roman" w:hAnsi="Times New Roman" w:cs="Times New Roman"/>
          <w:sz w:val="24"/>
          <w:szCs w:val="24"/>
        </w:rPr>
        <w:t>z</w:t>
      </w:r>
      <w:r w:rsidRPr="00AA47AC">
        <w:rPr>
          <w:rFonts w:ascii="Times New Roman" w:hAnsi="Times New Roman" w:cs="Times New Roman"/>
          <w:sz w:val="24"/>
          <w:szCs w:val="24"/>
        </w:rPr>
        <w:t xml:space="preserve">ed on an accrual basis. In terms of the </w:t>
      </w:r>
      <w:r w:rsidR="000362C5">
        <w:rPr>
          <w:rFonts w:ascii="Times New Roman" w:hAnsi="Times New Roman" w:cs="Times New Roman"/>
          <w:sz w:val="24"/>
          <w:szCs w:val="24"/>
        </w:rPr>
        <w:t>Master Direction- RBI</w:t>
      </w:r>
      <w:r w:rsidRPr="00AA47AC">
        <w:rPr>
          <w:rFonts w:ascii="Times New Roman" w:hAnsi="Times New Roman" w:cs="Times New Roman"/>
          <w:sz w:val="24"/>
          <w:szCs w:val="24"/>
        </w:rPr>
        <w:t>, interest income on Non-performing assets (‘NPAs’) shall be recogni</w:t>
      </w:r>
      <w:r w:rsidR="000362C5">
        <w:rPr>
          <w:rFonts w:ascii="Times New Roman" w:hAnsi="Times New Roman" w:cs="Times New Roman"/>
          <w:sz w:val="24"/>
          <w:szCs w:val="24"/>
        </w:rPr>
        <w:t>z</w:t>
      </w:r>
      <w:r w:rsidRPr="00AA47AC">
        <w:rPr>
          <w:rFonts w:ascii="Times New Roman" w:hAnsi="Times New Roman" w:cs="Times New Roman"/>
          <w:sz w:val="24"/>
          <w:szCs w:val="24"/>
        </w:rPr>
        <w:t>ed only when it is actually reali</w:t>
      </w:r>
      <w:r w:rsidR="000362C5">
        <w:rPr>
          <w:rFonts w:ascii="Times New Roman" w:hAnsi="Times New Roman" w:cs="Times New Roman"/>
          <w:sz w:val="24"/>
          <w:szCs w:val="24"/>
        </w:rPr>
        <w:t>z</w:t>
      </w:r>
      <w:r w:rsidRPr="00AA47AC">
        <w:rPr>
          <w:rFonts w:ascii="Times New Roman" w:hAnsi="Times New Roman" w:cs="Times New Roman"/>
          <w:sz w:val="24"/>
          <w:szCs w:val="24"/>
        </w:rPr>
        <w:t>ed.</w:t>
      </w:r>
    </w:p>
    <w:p w14:paraId="2B529313" w14:textId="77777777" w:rsidR="00854A3E" w:rsidRPr="00AA47AC" w:rsidRDefault="00854A3E" w:rsidP="00AA47AC">
      <w:pPr>
        <w:pStyle w:val="BodyText"/>
        <w:spacing w:before="1"/>
        <w:ind w:left="270"/>
        <w:rPr>
          <w:rFonts w:ascii="Times New Roman" w:hAnsi="Times New Roman" w:cs="Times New Roman"/>
          <w:sz w:val="24"/>
          <w:szCs w:val="24"/>
        </w:rPr>
      </w:pPr>
    </w:p>
    <w:p w14:paraId="19E112B3" w14:textId="6BB534A4" w:rsidR="00854A3E" w:rsidRPr="00AA47AC" w:rsidRDefault="00795907" w:rsidP="00AA47AC">
      <w:pPr>
        <w:pStyle w:val="BodyText"/>
        <w:ind w:left="270" w:right="119"/>
        <w:jc w:val="both"/>
        <w:rPr>
          <w:rFonts w:ascii="Times New Roman" w:hAnsi="Times New Roman" w:cs="Times New Roman"/>
          <w:sz w:val="24"/>
          <w:szCs w:val="24"/>
        </w:rPr>
      </w:pPr>
      <w:r w:rsidRPr="00AA47AC">
        <w:rPr>
          <w:rFonts w:ascii="Times New Roman" w:hAnsi="Times New Roman" w:cs="Times New Roman"/>
          <w:sz w:val="24"/>
          <w:szCs w:val="24"/>
        </w:rPr>
        <w:t>Processing Fees in respect of loans given shall be recogni</w:t>
      </w:r>
      <w:r w:rsidR="000362C5">
        <w:rPr>
          <w:rFonts w:ascii="Times New Roman" w:hAnsi="Times New Roman" w:cs="Times New Roman"/>
          <w:sz w:val="24"/>
          <w:szCs w:val="24"/>
        </w:rPr>
        <w:t>z</w:t>
      </w:r>
      <w:r w:rsidRPr="00AA47AC">
        <w:rPr>
          <w:rFonts w:ascii="Times New Roman" w:hAnsi="Times New Roman" w:cs="Times New Roman"/>
          <w:sz w:val="24"/>
          <w:szCs w:val="24"/>
        </w:rPr>
        <w:t>ed on log in / disbursement as per the terms of the contract.</w:t>
      </w:r>
    </w:p>
    <w:p w14:paraId="6A972BDA" w14:textId="77777777" w:rsidR="00854A3E" w:rsidRPr="00AA47AC" w:rsidRDefault="00854A3E" w:rsidP="00AA47AC">
      <w:pPr>
        <w:pStyle w:val="BodyText"/>
        <w:spacing w:before="1"/>
        <w:ind w:left="270"/>
        <w:rPr>
          <w:rFonts w:ascii="Times New Roman" w:hAnsi="Times New Roman" w:cs="Times New Roman"/>
          <w:sz w:val="24"/>
          <w:szCs w:val="24"/>
        </w:rPr>
      </w:pPr>
    </w:p>
    <w:p w14:paraId="447A2755" w14:textId="73AA1BC2" w:rsidR="00854A3E" w:rsidRPr="00AA47AC" w:rsidRDefault="00795907" w:rsidP="00AA47AC">
      <w:pPr>
        <w:pStyle w:val="BodyText"/>
        <w:ind w:left="270"/>
        <w:jc w:val="both"/>
        <w:rPr>
          <w:rFonts w:ascii="Times New Roman" w:hAnsi="Times New Roman" w:cs="Times New Roman"/>
          <w:sz w:val="24"/>
          <w:szCs w:val="24"/>
        </w:rPr>
      </w:pPr>
      <w:r w:rsidRPr="00AA47AC">
        <w:rPr>
          <w:rFonts w:ascii="Times New Roman" w:hAnsi="Times New Roman" w:cs="Times New Roman"/>
          <w:sz w:val="24"/>
          <w:szCs w:val="24"/>
        </w:rPr>
        <w:t>Additional interest/overdue charges shall be recogni</w:t>
      </w:r>
      <w:r w:rsidR="000362C5">
        <w:rPr>
          <w:rFonts w:ascii="Times New Roman" w:hAnsi="Times New Roman" w:cs="Times New Roman"/>
          <w:sz w:val="24"/>
          <w:szCs w:val="24"/>
        </w:rPr>
        <w:t>z</w:t>
      </w:r>
      <w:r w:rsidRPr="00AA47AC">
        <w:rPr>
          <w:rFonts w:ascii="Times New Roman" w:hAnsi="Times New Roman" w:cs="Times New Roman"/>
          <w:sz w:val="24"/>
          <w:szCs w:val="24"/>
        </w:rPr>
        <w:t>ed on reali</w:t>
      </w:r>
      <w:r w:rsidR="000362C5">
        <w:rPr>
          <w:rFonts w:ascii="Times New Roman" w:hAnsi="Times New Roman" w:cs="Times New Roman"/>
          <w:sz w:val="24"/>
          <w:szCs w:val="24"/>
        </w:rPr>
        <w:t>z</w:t>
      </w:r>
      <w:r w:rsidRPr="00AA47AC">
        <w:rPr>
          <w:rFonts w:ascii="Times New Roman" w:hAnsi="Times New Roman" w:cs="Times New Roman"/>
          <w:sz w:val="24"/>
          <w:szCs w:val="24"/>
        </w:rPr>
        <w:t>ation basis.</w:t>
      </w:r>
    </w:p>
    <w:p w14:paraId="1D43B941" w14:textId="77777777" w:rsidR="00854A3E" w:rsidRPr="00AA47AC" w:rsidRDefault="00854A3E" w:rsidP="00AA47AC">
      <w:pPr>
        <w:pStyle w:val="BodyText"/>
        <w:spacing w:before="10"/>
        <w:ind w:left="270"/>
        <w:rPr>
          <w:rFonts w:ascii="Times New Roman" w:hAnsi="Times New Roman" w:cs="Times New Roman"/>
          <w:sz w:val="24"/>
          <w:szCs w:val="24"/>
        </w:rPr>
      </w:pPr>
    </w:p>
    <w:p w14:paraId="4A26B021" w14:textId="569778AE" w:rsidR="00854A3E" w:rsidRPr="00AA47AC" w:rsidRDefault="00795907" w:rsidP="00AA47AC">
      <w:pPr>
        <w:pStyle w:val="BodyText"/>
        <w:spacing w:before="1"/>
        <w:ind w:left="270" w:right="116"/>
        <w:jc w:val="both"/>
        <w:rPr>
          <w:rFonts w:ascii="Times New Roman" w:hAnsi="Times New Roman" w:cs="Times New Roman"/>
          <w:sz w:val="24"/>
          <w:szCs w:val="24"/>
        </w:rPr>
      </w:pPr>
      <w:r w:rsidRPr="00AA47AC">
        <w:rPr>
          <w:rFonts w:ascii="Times New Roman" w:hAnsi="Times New Roman" w:cs="Times New Roman"/>
          <w:sz w:val="24"/>
          <w:szCs w:val="24"/>
        </w:rPr>
        <w:t>Repayment of loans shall be as stipulated in the respective loan agreements or by way of Equated Monthly Installments (EMI’s) comprising principal and interest. EMIs commence generally once the entire loan is disbursed however on request of customer it commences even before the entire loan is disbursed. In case of pending commencement of EMIs, Pre-EMI interest is payable every month and accounted for on accrual</w:t>
      </w:r>
      <w:r w:rsidRPr="00AA47AC">
        <w:rPr>
          <w:rFonts w:ascii="Times New Roman" w:hAnsi="Times New Roman" w:cs="Times New Roman"/>
          <w:spacing w:val="-12"/>
          <w:sz w:val="24"/>
          <w:szCs w:val="24"/>
        </w:rPr>
        <w:t xml:space="preserve"> </w:t>
      </w:r>
      <w:r w:rsidRPr="00AA47AC">
        <w:rPr>
          <w:rFonts w:ascii="Times New Roman" w:hAnsi="Times New Roman" w:cs="Times New Roman"/>
          <w:sz w:val="24"/>
          <w:szCs w:val="24"/>
        </w:rPr>
        <w:t>basis.</w:t>
      </w:r>
    </w:p>
    <w:p w14:paraId="0BFD9A09" w14:textId="1B0AF130" w:rsidR="00A061B5" w:rsidRPr="00AA47AC" w:rsidRDefault="00A061B5" w:rsidP="00AA47AC">
      <w:pPr>
        <w:pStyle w:val="BodyText"/>
        <w:spacing w:before="1"/>
        <w:ind w:left="270" w:right="116"/>
        <w:jc w:val="both"/>
        <w:rPr>
          <w:rFonts w:ascii="Times New Roman" w:hAnsi="Times New Roman" w:cs="Times New Roman"/>
          <w:sz w:val="24"/>
          <w:szCs w:val="24"/>
        </w:rPr>
      </w:pPr>
    </w:p>
    <w:p w14:paraId="0DD36E78" w14:textId="4499765F" w:rsidR="00A061B5" w:rsidRPr="00AA47AC" w:rsidRDefault="00A061B5" w:rsidP="00AA47AC">
      <w:pPr>
        <w:pStyle w:val="BodyText"/>
        <w:spacing w:before="1"/>
        <w:ind w:left="270" w:right="116"/>
        <w:jc w:val="both"/>
        <w:rPr>
          <w:rFonts w:ascii="Times New Roman" w:hAnsi="Times New Roman" w:cs="Times New Roman"/>
          <w:sz w:val="24"/>
          <w:szCs w:val="24"/>
        </w:rPr>
      </w:pPr>
      <w:r w:rsidRPr="00AA47AC">
        <w:rPr>
          <w:rFonts w:ascii="Times New Roman" w:hAnsi="Times New Roman" w:cs="Times New Roman"/>
          <w:sz w:val="24"/>
          <w:szCs w:val="24"/>
        </w:rPr>
        <w:t>Dividend income from investments is recogni</w:t>
      </w:r>
      <w:r w:rsidR="000362C5">
        <w:rPr>
          <w:rFonts w:ascii="Times New Roman" w:hAnsi="Times New Roman" w:cs="Times New Roman"/>
          <w:sz w:val="24"/>
          <w:szCs w:val="24"/>
        </w:rPr>
        <w:t>z</w:t>
      </w:r>
      <w:r w:rsidRPr="00AA47AC">
        <w:rPr>
          <w:rFonts w:ascii="Times New Roman" w:hAnsi="Times New Roman" w:cs="Times New Roman"/>
          <w:sz w:val="24"/>
          <w:szCs w:val="24"/>
        </w:rPr>
        <w:t>ed when the shareholders' right to receive payment has been established which is generally when the shareholders approve the dividend.</w:t>
      </w:r>
    </w:p>
    <w:p w14:paraId="5066B18B" w14:textId="0EB5FEEF" w:rsidR="00A061B5" w:rsidRPr="00AA47AC" w:rsidRDefault="00A061B5" w:rsidP="00AA47AC">
      <w:pPr>
        <w:pStyle w:val="BodyText"/>
        <w:spacing w:before="1"/>
        <w:ind w:left="270" w:right="116"/>
        <w:jc w:val="both"/>
        <w:rPr>
          <w:rFonts w:ascii="Times New Roman" w:hAnsi="Times New Roman" w:cs="Times New Roman"/>
          <w:sz w:val="24"/>
          <w:szCs w:val="24"/>
        </w:rPr>
      </w:pPr>
    </w:p>
    <w:p w14:paraId="7701DDB4" w14:textId="5CDF446B" w:rsidR="00A061B5" w:rsidRDefault="00A061B5" w:rsidP="00AA47AC">
      <w:pPr>
        <w:pStyle w:val="BodyText"/>
        <w:spacing w:before="1"/>
        <w:ind w:left="270" w:right="116"/>
        <w:jc w:val="both"/>
        <w:rPr>
          <w:rFonts w:ascii="Times New Roman" w:hAnsi="Times New Roman" w:cs="Times New Roman"/>
          <w:sz w:val="24"/>
          <w:szCs w:val="24"/>
        </w:rPr>
      </w:pPr>
      <w:r w:rsidRPr="00AA47AC">
        <w:rPr>
          <w:rFonts w:ascii="Times New Roman" w:hAnsi="Times New Roman" w:cs="Times New Roman"/>
          <w:sz w:val="24"/>
          <w:szCs w:val="24"/>
        </w:rPr>
        <w:t xml:space="preserve">The Company shall recognize the revenue from contracts with customers (other than financial assets to which Ind AS 109 ‘Financial Instruments’ is applicable) based on a comprehensive assessment model as set out in Ind AS 115 ‘Revenue from contracts with customers’. </w:t>
      </w:r>
    </w:p>
    <w:p w14:paraId="7C50B534" w14:textId="38F1BE95" w:rsidR="00AA47AC" w:rsidRDefault="00AA47AC" w:rsidP="00AA47AC">
      <w:pPr>
        <w:pStyle w:val="BodyText"/>
        <w:spacing w:before="1"/>
        <w:ind w:left="270" w:right="116"/>
        <w:jc w:val="both"/>
        <w:rPr>
          <w:rFonts w:ascii="Times New Roman" w:hAnsi="Times New Roman" w:cs="Times New Roman"/>
          <w:sz w:val="24"/>
          <w:szCs w:val="24"/>
        </w:rPr>
      </w:pPr>
    </w:p>
    <w:p w14:paraId="2DD05D48" w14:textId="77777777" w:rsidR="00854A3E" w:rsidRPr="00AA47AC" w:rsidRDefault="00795907" w:rsidP="003708DA">
      <w:pPr>
        <w:pStyle w:val="Heading2"/>
        <w:numPr>
          <w:ilvl w:val="1"/>
          <w:numId w:val="3"/>
        </w:numPr>
        <w:ind w:left="270" w:hanging="361"/>
        <w:rPr>
          <w:rFonts w:ascii="Times New Roman" w:hAnsi="Times New Roman" w:cs="Times New Roman"/>
          <w:sz w:val="24"/>
          <w:szCs w:val="24"/>
        </w:rPr>
      </w:pPr>
      <w:r w:rsidRPr="00AA47AC">
        <w:rPr>
          <w:rFonts w:ascii="Times New Roman" w:hAnsi="Times New Roman" w:cs="Times New Roman"/>
          <w:sz w:val="24"/>
          <w:szCs w:val="24"/>
        </w:rPr>
        <w:t>Taxes on</w:t>
      </w:r>
      <w:r w:rsidRPr="00AA47AC">
        <w:rPr>
          <w:rFonts w:ascii="Times New Roman" w:hAnsi="Times New Roman" w:cs="Times New Roman"/>
          <w:spacing w:val="-1"/>
          <w:sz w:val="24"/>
          <w:szCs w:val="24"/>
        </w:rPr>
        <w:t xml:space="preserve"> </w:t>
      </w:r>
      <w:r w:rsidRPr="00AA47AC">
        <w:rPr>
          <w:rFonts w:ascii="Times New Roman" w:hAnsi="Times New Roman" w:cs="Times New Roman"/>
          <w:sz w:val="24"/>
          <w:szCs w:val="24"/>
        </w:rPr>
        <w:t>Income</w:t>
      </w:r>
    </w:p>
    <w:p w14:paraId="2D976D39" w14:textId="77777777" w:rsidR="00854A3E" w:rsidRPr="00AA47AC" w:rsidRDefault="00854A3E" w:rsidP="00AA47AC">
      <w:pPr>
        <w:pStyle w:val="BodyText"/>
        <w:ind w:left="270"/>
        <w:rPr>
          <w:rFonts w:ascii="Times New Roman" w:hAnsi="Times New Roman" w:cs="Times New Roman"/>
          <w:b/>
          <w:sz w:val="24"/>
          <w:szCs w:val="24"/>
        </w:rPr>
      </w:pPr>
    </w:p>
    <w:p w14:paraId="2545E3EC" w14:textId="77777777" w:rsidR="00854A3E" w:rsidRPr="00AA47AC" w:rsidRDefault="00795907" w:rsidP="00AA47AC">
      <w:pPr>
        <w:pStyle w:val="BodyText"/>
        <w:spacing w:before="1"/>
        <w:ind w:left="270" w:right="118"/>
        <w:jc w:val="both"/>
        <w:rPr>
          <w:rFonts w:ascii="Times New Roman" w:hAnsi="Times New Roman" w:cs="Times New Roman"/>
          <w:sz w:val="24"/>
          <w:szCs w:val="24"/>
        </w:rPr>
      </w:pPr>
      <w:r w:rsidRPr="00AA47AC">
        <w:rPr>
          <w:rFonts w:ascii="Times New Roman" w:hAnsi="Times New Roman" w:cs="Times New Roman"/>
          <w:sz w:val="24"/>
          <w:szCs w:val="24"/>
        </w:rPr>
        <w:t>Tax expense comprises current tax and deferred tax. Current income tax shall be measured at the amount expected to be paid to the tax authorities in accordance with the income tax Act, 1961 enacted in India and tax law prevailing in the respective tax jurisdictions where the company operates. The tax rates and tax laws used to compute the amount are those that are enacted or substantively enacted at the reporting date.</w:t>
      </w:r>
    </w:p>
    <w:p w14:paraId="0545A1C4" w14:textId="77777777" w:rsidR="00854A3E" w:rsidRPr="00AA47AC" w:rsidRDefault="00854A3E" w:rsidP="00AA47AC">
      <w:pPr>
        <w:pStyle w:val="BodyText"/>
        <w:spacing w:before="3"/>
        <w:ind w:left="270"/>
        <w:rPr>
          <w:rFonts w:ascii="Times New Roman" w:hAnsi="Times New Roman" w:cs="Times New Roman"/>
          <w:sz w:val="24"/>
          <w:szCs w:val="24"/>
        </w:rPr>
      </w:pPr>
    </w:p>
    <w:p w14:paraId="5B5B8530" w14:textId="77777777" w:rsidR="00854A3E" w:rsidRPr="00AA47AC" w:rsidRDefault="00795907" w:rsidP="00AA47AC">
      <w:pPr>
        <w:pStyle w:val="BodyText"/>
        <w:ind w:left="270" w:right="120"/>
        <w:jc w:val="both"/>
        <w:rPr>
          <w:rFonts w:ascii="Times New Roman" w:hAnsi="Times New Roman" w:cs="Times New Roman"/>
          <w:sz w:val="24"/>
          <w:szCs w:val="24"/>
        </w:rPr>
      </w:pPr>
      <w:r w:rsidRPr="00AA47AC">
        <w:rPr>
          <w:rFonts w:ascii="Times New Roman" w:hAnsi="Times New Roman" w:cs="Times New Roman"/>
          <w:sz w:val="24"/>
          <w:szCs w:val="24"/>
        </w:rPr>
        <w:t>Deferred income taxes reflect the impact of timing difference between taxable income and accounting income originating during the current year and reversal of timing difference for the earlier year. Deferred tax shall be measured using the tax rate and tax laws enacted at the reporting date.</w:t>
      </w:r>
    </w:p>
    <w:p w14:paraId="741BE9CC" w14:textId="7FD139A9" w:rsidR="00854A3E" w:rsidRPr="00AA47AC" w:rsidRDefault="00854A3E" w:rsidP="00AA47AC">
      <w:pPr>
        <w:pStyle w:val="BodyText"/>
        <w:ind w:left="270"/>
        <w:rPr>
          <w:rFonts w:ascii="Times New Roman" w:hAnsi="Times New Roman" w:cs="Times New Roman"/>
          <w:sz w:val="24"/>
          <w:szCs w:val="24"/>
        </w:rPr>
      </w:pPr>
    </w:p>
    <w:p w14:paraId="09ADD619" w14:textId="77777777" w:rsidR="00854A3E" w:rsidRPr="00AA47AC" w:rsidRDefault="00795907" w:rsidP="00AA47AC">
      <w:pPr>
        <w:pStyle w:val="BodyText"/>
        <w:spacing w:before="56"/>
        <w:ind w:left="270" w:right="117"/>
        <w:jc w:val="both"/>
        <w:rPr>
          <w:rFonts w:ascii="Times New Roman" w:hAnsi="Times New Roman" w:cs="Times New Roman"/>
          <w:sz w:val="24"/>
          <w:szCs w:val="24"/>
        </w:rPr>
      </w:pPr>
      <w:r w:rsidRPr="00AA47AC">
        <w:rPr>
          <w:rFonts w:ascii="Times New Roman" w:hAnsi="Times New Roman" w:cs="Times New Roman"/>
          <w:sz w:val="24"/>
          <w:szCs w:val="24"/>
        </w:rPr>
        <w:t xml:space="preserve">Deferred tax liabilities shall be recognized for all taxable timing difference. Deferred tax assets shall be recognized for deductible timing difference only to the extent that is reasonable certainty that sufficient future taxable income will be available against which such deferred tax </w:t>
      </w:r>
      <w:r w:rsidRPr="00AA47AC">
        <w:rPr>
          <w:rFonts w:ascii="Times New Roman" w:hAnsi="Times New Roman" w:cs="Times New Roman"/>
          <w:sz w:val="24"/>
          <w:szCs w:val="24"/>
        </w:rPr>
        <w:lastRenderedPageBreak/>
        <w:t>assets can be realized. In situation where the company has unabsorbed depreciation or carry forward tax losses, all deferred tax assets shall be recognized only if there is virtual certainty supported by convincing evidence that they can be realized against future taxable profits.</w:t>
      </w:r>
    </w:p>
    <w:p w14:paraId="2E46760C" w14:textId="4311165A" w:rsidR="000362C5" w:rsidRDefault="000362C5" w:rsidP="008D3919">
      <w:pPr>
        <w:pStyle w:val="BodyText"/>
        <w:spacing w:before="6"/>
        <w:rPr>
          <w:rFonts w:ascii="Times New Roman" w:hAnsi="Times New Roman" w:cs="Times New Roman"/>
          <w:sz w:val="24"/>
          <w:szCs w:val="24"/>
        </w:rPr>
      </w:pPr>
    </w:p>
    <w:p w14:paraId="0193622D" w14:textId="0E2A05E8" w:rsidR="000362C5" w:rsidRDefault="000362C5" w:rsidP="008D3919">
      <w:pPr>
        <w:pStyle w:val="BodyText"/>
        <w:spacing w:before="6"/>
        <w:rPr>
          <w:rFonts w:ascii="Times New Roman" w:hAnsi="Times New Roman" w:cs="Times New Roman"/>
          <w:sz w:val="24"/>
          <w:szCs w:val="24"/>
        </w:rPr>
      </w:pPr>
    </w:p>
    <w:p w14:paraId="7D31598A" w14:textId="77777777" w:rsidR="000362C5" w:rsidRPr="00AA47AC" w:rsidRDefault="000362C5" w:rsidP="008D3919">
      <w:pPr>
        <w:pStyle w:val="BodyText"/>
        <w:spacing w:before="6"/>
        <w:rPr>
          <w:rFonts w:ascii="Times New Roman" w:hAnsi="Times New Roman" w:cs="Times New Roman"/>
          <w:sz w:val="24"/>
          <w:szCs w:val="24"/>
        </w:rPr>
      </w:pPr>
    </w:p>
    <w:p w14:paraId="7A913A7B" w14:textId="77777777" w:rsidR="00854A3E" w:rsidRPr="00AA47AC" w:rsidRDefault="00795907" w:rsidP="003708DA">
      <w:pPr>
        <w:pStyle w:val="Heading2"/>
        <w:numPr>
          <w:ilvl w:val="1"/>
          <w:numId w:val="3"/>
        </w:numPr>
        <w:tabs>
          <w:tab w:val="left" w:pos="540"/>
        </w:tabs>
        <w:ind w:left="270" w:hanging="270"/>
        <w:rPr>
          <w:rFonts w:ascii="Times New Roman" w:hAnsi="Times New Roman" w:cs="Times New Roman"/>
          <w:sz w:val="24"/>
          <w:szCs w:val="24"/>
        </w:rPr>
      </w:pPr>
      <w:r w:rsidRPr="00AA47AC">
        <w:rPr>
          <w:rFonts w:ascii="Times New Roman" w:hAnsi="Times New Roman" w:cs="Times New Roman"/>
          <w:sz w:val="24"/>
          <w:szCs w:val="24"/>
        </w:rPr>
        <w:t>Impairment of</w:t>
      </w:r>
      <w:r w:rsidRPr="00AA47AC">
        <w:rPr>
          <w:rFonts w:ascii="Times New Roman" w:hAnsi="Times New Roman" w:cs="Times New Roman"/>
          <w:spacing w:val="-2"/>
          <w:sz w:val="24"/>
          <w:szCs w:val="24"/>
        </w:rPr>
        <w:t xml:space="preserve"> </w:t>
      </w:r>
      <w:r w:rsidRPr="00AA47AC">
        <w:rPr>
          <w:rFonts w:ascii="Times New Roman" w:hAnsi="Times New Roman" w:cs="Times New Roman"/>
          <w:sz w:val="24"/>
          <w:szCs w:val="24"/>
        </w:rPr>
        <w:t>Assets:</w:t>
      </w:r>
    </w:p>
    <w:p w14:paraId="307D817D" w14:textId="77777777" w:rsidR="00854A3E" w:rsidRPr="00AA47AC" w:rsidRDefault="00854A3E" w:rsidP="00AA47AC">
      <w:pPr>
        <w:pStyle w:val="BodyText"/>
        <w:tabs>
          <w:tab w:val="left" w:pos="540"/>
        </w:tabs>
        <w:spacing w:before="1"/>
        <w:ind w:left="270" w:hanging="270"/>
        <w:rPr>
          <w:rFonts w:ascii="Times New Roman" w:hAnsi="Times New Roman" w:cs="Times New Roman"/>
          <w:b/>
          <w:sz w:val="24"/>
          <w:szCs w:val="24"/>
        </w:rPr>
      </w:pPr>
    </w:p>
    <w:p w14:paraId="59DD552D" w14:textId="67A229AC" w:rsidR="00854A3E" w:rsidRPr="00AA47AC" w:rsidRDefault="00AA47AC" w:rsidP="00AA47AC">
      <w:pPr>
        <w:pStyle w:val="BodyText"/>
        <w:tabs>
          <w:tab w:val="left" w:pos="540"/>
        </w:tabs>
        <w:ind w:left="270" w:right="116" w:hanging="270"/>
        <w:jc w:val="both"/>
        <w:rPr>
          <w:rFonts w:ascii="Times New Roman" w:hAnsi="Times New Roman" w:cs="Times New Roman"/>
          <w:sz w:val="24"/>
          <w:szCs w:val="24"/>
        </w:rPr>
      </w:pPr>
      <w:r>
        <w:rPr>
          <w:rFonts w:ascii="Times New Roman" w:hAnsi="Times New Roman" w:cs="Times New Roman"/>
          <w:sz w:val="24"/>
          <w:szCs w:val="24"/>
        </w:rPr>
        <w:tab/>
      </w:r>
      <w:r w:rsidR="00795907" w:rsidRPr="00AA47AC">
        <w:rPr>
          <w:rFonts w:ascii="Times New Roman" w:hAnsi="Times New Roman" w:cs="Times New Roman"/>
          <w:sz w:val="24"/>
          <w:szCs w:val="24"/>
        </w:rPr>
        <w:t xml:space="preserve">The Company assesses at each Balance Sheet date whether there is any indication that an asset may be impaired. If any such indication exists, the Company estimates the recoverable amount of the asset. The recoverable amount is the higher of an asset’s net selling price and its value in use. If such recoverable amount of the asset or the recoverable amount of the cash generating unit to which the asset belongs is less than its carrying amount, the carrying amount is reduced to its recoverable amount. The reduction is treated as an impairment loss and is </w:t>
      </w:r>
      <w:r w:rsidR="00657F55" w:rsidRPr="00AA47AC">
        <w:rPr>
          <w:rFonts w:ascii="Times New Roman" w:hAnsi="Times New Roman" w:cs="Times New Roman"/>
          <w:sz w:val="24"/>
          <w:szCs w:val="24"/>
        </w:rPr>
        <w:t>recognized</w:t>
      </w:r>
      <w:r w:rsidR="00795907" w:rsidRPr="00AA47AC">
        <w:rPr>
          <w:rFonts w:ascii="Times New Roman" w:hAnsi="Times New Roman" w:cs="Times New Roman"/>
          <w:sz w:val="24"/>
          <w:szCs w:val="24"/>
        </w:rPr>
        <w:t xml:space="preserve"> in the Statement of Profit and Loss. If at the Balance Sheet date there is an indication that if a previously assessed impairment loss no longer exists, the recoverable amount is reassessed and the asset is reflected at the recoverable</w:t>
      </w:r>
      <w:r w:rsidR="00795907" w:rsidRPr="00AA47AC">
        <w:rPr>
          <w:rFonts w:ascii="Times New Roman" w:hAnsi="Times New Roman" w:cs="Times New Roman"/>
          <w:spacing w:val="-7"/>
          <w:sz w:val="24"/>
          <w:szCs w:val="24"/>
        </w:rPr>
        <w:t xml:space="preserve"> </w:t>
      </w:r>
      <w:r w:rsidR="00795907" w:rsidRPr="00AA47AC">
        <w:rPr>
          <w:rFonts w:ascii="Times New Roman" w:hAnsi="Times New Roman" w:cs="Times New Roman"/>
          <w:sz w:val="24"/>
          <w:szCs w:val="24"/>
        </w:rPr>
        <w:t>amount.</w:t>
      </w:r>
    </w:p>
    <w:p w14:paraId="6FB00827" w14:textId="04516198" w:rsidR="008D3919" w:rsidRDefault="008D3919" w:rsidP="00AA47AC">
      <w:pPr>
        <w:pStyle w:val="BodyText"/>
        <w:tabs>
          <w:tab w:val="left" w:pos="540"/>
        </w:tabs>
        <w:ind w:left="270" w:right="119" w:hanging="270"/>
        <w:jc w:val="both"/>
        <w:rPr>
          <w:rFonts w:ascii="Times New Roman" w:hAnsi="Times New Roman" w:cs="Times New Roman"/>
          <w:sz w:val="24"/>
          <w:szCs w:val="24"/>
        </w:rPr>
      </w:pPr>
    </w:p>
    <w:p w14:paraId="2F13F4B8" w14:textId="77777777" w:rsidR="00854A3E" w:rsidRPr="00AA47AC" w:rsidRDefault="00795907" w:rsidP="003708DA">
      <w:pPr>
        <w:pStyle w:val="Heading2"/>
        <w:numPr>
          <w:ilvl w:val="1"/>
          <w:numId w:val="3"/>
        </w:numPr>
        <w:tabs>
          <w:tab w:val="left" w:pos="540"/>
        </w:tabs>
        <w:ind w:left="270" w:hanging="270"/>
        <w:rPr>
          <w:rFonts w:ascii="Times New Roman" w:hAnsi="Times New Roman" w:cs="Times New Roman"/>
          <w:sz w:val="24"/>
          <w:szCs w:val="24"/>
        </w:rPr>
      </w:pPr>
      <w:r w:rsidRPr="00AA47AC">
        <w:rPr>
          <w:rFonts w:ascii="Times New Roman" w:hAnsi="Times New Roman" w:cs="Times New Roman"/>
          <w:sz w:val="24"/>
          <w:szCs w:val="24"/>
        </w:rPr>
        <w:t>Employee</w:t>
      </w:r>
      <w:r w:rsidRPr="00AA47AC">
        <w:rPr>
          <w:rFonts w:ascii="Times New Roman" w:hAnsi="Times New Roman" w:cs="Times New Roman"/>
          <w:spacing w:val="-7"/>
          <w:sz w:val="24"/>
          <w:szCs w:val="24"/>
        </w:rPr>
        <w:t xml:space="preserve"> </w:t>
      </w:r>
      <w:r w:rsidRPr="00AA47AC">
        <w:rPr>
          <w:rFonts w:ascii="Times New Roman" w:hAnsi="Times New Roman" w:cs="Times New Roman"/>
          <w:sz w:val="24"/>
          <w:szCs w:val="24"/>
        </w:rPr>
        <w:t>benefits:</w:t>
      </w:r>
    </w:p>
    <w:p w14:paraId="2B9FF63C" w14:textId="77777777" w:rsidR="00854A3E" w:rsidRPr="003F104E" w:rsidRDefault="00854A3E" w:rsidP="00AA47AC">
      <w:pPr>
        <w:pStyle w:val="BodyText"/>
        <w:tabs>
          <w:tab w:val="left" w:pos="540"/>
        </w:tabs>
        <w:spacing w:before="7"/>
        <w:ind w:left="270" w:hanging="270"/>
        <w:rPr>
          <w:rFonts w:ascii="Times New Roman" w:hAnsi="Times New Roman" w:cs="Times New Roman"/>
          <w:b/>
          <w:sz w:val="20"/>
          <w:szCs w:val="20"/>
        </w:rPr>
      </w:pPr>
    </w:p>
    <w:p w14:paraId="32B628E6" w14:textId="0D1647BD" w:rsidR="00854A3E" w:rsidRPr="00AA47AC" w:rsidRDefault="00AA47AC" w:rsidP="00AA47AC">
      <w:pPr>
        <w:pStyle w:val="BodyText"/>
        <w:tabs>
          <w:tab w:val="left" w:pos="540"/>
        </w:tabs>
        <w:spacing w:before="1"/>
        <w:ind w:left="270" w:right="116" w:hanging="270"/>
        <w:jc w:val="both"/>
        <w:rPr>
          <w:rFonts w:ascii="Times New Roman" w:hAnsi="Times New Roman" w:cs="Times New Roman"/>
          <w:sz w:val="24"/>
          <w:szCs w:val="24"/>
        </w:rPr>
      </w:pPr>
      <w:r>
        <w:rPr>
          <w:rFonts w:ascii="Times New Roman" w:hAnsi="Times New Roman" w:cs="Times New Roman"/>
          <w:sz w:val="24"/>
          <w:szCs w:val="24"/>
        </w:rPr>
        <w:tab/>
      </w:r>
      <w:r w:rsidR="00795907" w:rsidRPr="00AA47AC">
        <w:rPr>
          <w:rFonts w:ascii="Times New Roman" w:hAnsi="Times New Roman" w:cs="Times New Roman"/>
          <w:sz w:val="24"/>
          <w:szCs w:val="24"/>
        </w:rPr>
        <w:t xml:space="preserve">The Company’s contribution to Provident Fund and Employee State Insurance Scheme shall be considered as defined contribution plans and shall be charged as an expense based on the amount of contribution required to be made and when services are rendered by the employees. The Company has unfunded defined benefit plans as Compensated Absences and Gratuity for all eligible employees, the liability for which is determined on the basis of an actuarial valuation at the end of the year using the ‘Projected Unit Credit Method’. Actuarial gains and losses comprise experience adjustments and the effects of changes in actuarial assumptions and shall be </w:t>
      </w:r>
      <w:r w:rsidR="00657F55" w:rsidRPr="00AA47AC">
        <w:rPr>
          <w:rFonts w:ascii="Times New Roman" w:hAnsi="Times New Roman" w:cs="Times New Roman"/>
          <w:sz w:val="24"/>
          <w:szCs w:val="24"/>
        </w:rPr>
        <w:t>recognized</w:t>
      </w:r>
      <w:r w:rsidR="00795907" w:rsidRPr="00AA47AC">
        <w:rPr>
          <w:rFonts w:ascii="Times New Roman" w:hAnsi="Times New Roman" w:cs="Times New Roman"/>
          <w:sz w:val="24"/>
          <w:szCs w:val="24"/>
        </w:rPr>
        <w:t xml:space="preserve"> in the Statement of Profit and Loss as income or expenses, as applicable. Superannuation (Pension &amp; Medical coverage) payable to a Director on retirement shall be actuarially valued at the end of the year using the Projected Unit Credit Method. Actuarial gains and losses comprise experience adjustments and the effects of change in actuarial assumptions and are </w:t>
      </w:r>
      <w:r w:rsidR="00657F55" w:rsidRPr="00AA47AC">
        <w:rPr>
          <w:rFonts w:ascii="Times New Roman" w:hAnsi="Times New Roman" w:cs="Times New Roman"/>
          <w:sz w:val="24"/>
          <w:szCs w:val="24"/>
        </w:rPr>
        <w:t>recognized</w:t>
      </w:r>
      <w:r w:rsidR="00795907" w:rsidRPr="00AA47AC">
        <w:rPr>
          <w:rFonts w:ascii="Times New Roman" w:hAnsi="Times New Roman" w:cs="Times New Roman"/>
          <w:sz w:val="24"/>
          <w:szCs w:val="24"/>
        </w:rPr>
        <w:t xml:space="preserve"> in the Statement of Profit and Loss as income or expenses as applicable.</w:t>
      </w:r>
    </w:p>
    <w:p w14:paraId="6350E2CF" w14:textId="77777777" w:rsidR="00854A3E" w:rsidRPr="003F104E" w:rsidRDefault="00854A3E" w:rsidP="00AA47AC">
      <w:pPr>
        <w:pStyle w:val="BodyText"/>
        <w:tabs>
          <w:tab w:val="left" w:pos="540"/>
        </w:tabs>
        <w:spacing w:before="9"/>
        <w:ind w:left="270" w:hanging="270"/>
        <w:rPr>
          <w:rFonts w:ascii="Times New Roman" w:hAnsi="Times New Roman" w:cs="Times New Roman"/>
          <w:sz w:val="20"/>
          <w:szCs w:val="20"/>
        </w:rPr>
      </w:pPr>
    </w:p>
    <w:p w14:paraId="311A1AE8" w14:textId="77777777" w:rsidR="00854A3E" w:rsidRPr="00AA47AC" w:rsidRDefault="00795907" w:rsidP="003708DA">
      <w:pPr>
        <w:pStyle w:val="Heading2"/>
        <w:numPr>
          <w:ilvl w:val="1"/>
          <w:numId w:val="3"/>
        </w:numPr>
        <w:tabs>
          <w:tab w:val="left" w:pos="540"/>
        </w:tabs>
        <w:spacing w:before="57"/>
        <w:ind w:left="270" w:hanging="270"/>
        <w:rPr>
          <w:rFonts w:ascii="Times New Roman" w:hAnsi="Times New Roman" w:cs="Times New Roman"/>
          <w:sz w:val="24"/>
          <w:szCs w:val="24"/>
        </w:rPr>
      </w:pPr>
      <w:r w:rsidRPr="00AA47AC">
        <w:rPr>
          <w:rFonts w:ascii="Times New Roman" w:hAnsi="Times New Roman" w:cs="Times New Roman"/>
          <w:sz w:val="24"/>
          <w:szCs w:val="24"/>
        </w:rPr>
        <w:t>Provisions</w:t>
      </w:r>
    </w:p>
    <w:p w14:paraId="51870BD9" w14:textId="77777777" w:rsidR="00854A3E" w:rsidRPr="003F104E" w:rsidRDefault="00854A3E" w:rsidP="00AA47AC">
      <w:pPr>
        <w:pStyle w:val="BodyText"/>
        <w:tabs>
          <w:tab w:val="left" w:pos="540"/>
        </w:tabs>
        <w:ind w:left="270" w:hanging="270"/>
        <w:rPr>
          <w:rFonts w:ascii="Times New Roman" w:hAnsi="Times New Roman" w:cs="Times New Roman"/>
          <w:b/>
          <w:sz w:val="20"/>
          <w:szCs w:val="20"/>
        </w:rPr>
      </w:pPr>
    </w:p>
    <w:p w14:paraId="44DE6E4E" w14:textId="6C516389" w:rsidR="00854A3E" w:rsidRPr="00AA47AC" w:rsidRDefault="00AA47AC" w:rsidP="00AA47AC">
      <w:pPr>
        <w:pStyle w:val="BodyText"/>
        <w:tabs>
          <w:tab w:val="left" w:pos="540"/>
        </w:tabs>
        <w:ind w:left="270" w:right="119" w:hanging="270"/>
        <w:jc w:val="both"/>
        <w:rPr>
          <w:rFonts w:ascii="Times New Roman" w:hAnsi="Times New Roman" w:cs="Times New Roman"/>
          <w:sz w:val="24"/>
          <w:szCs w:val="24"/>
        </w:rPr>
      </w:pPr>
      <w:r>
        <w:rPr>
          <w:rFonts w:ascii="Times New Roman" w:hAnsi="Times New Roman" w:cs="Times New Roman"/>
          <w:sz w:val="24"/>
          <w:szCs w:val="24"/>
        </w:rPr>
        <w:tab/>
      </w:r>
      <w:r w:rsidR="00795907" w:rsidRPr="00AA47AC">
        <w:rPr>
          <w:rFonts w:ascii="Times New Roman" w:hAnsi="Times New Roman" w:cs="Times New Roman"/>
          <w:sz w:val="24"/>
          <w:szCs w:val="24"/>
        </w:rPr>
        <w:t>A provision shall be recognized when the company has a present obligation as a result of past event, it is probable that an outflow of resource embodying economic benefits will be require to settle the obligation and a reliable estimate can be made of the amount of the obligation. Provisions shall not be discounted to their present value and are determined based on the best estimate required to settle the obligation at the reporting date. These estimates are review at the end of each reporting date and adjusted to reflect the current best</w:t>
      </w:r>
      <w:r w:rsidR="00795907" w:rsidRPr="00AA47AC">
        <w:rPr>
          <w:rFonts w:ascii="Times New Roman" w:hAnsi="Times New Roman" w:cs="Times New Roman"/>
          <w:spacing w:val="-16"/>
          <w:sz w:val="24"/>
          <w:szCs w:val="24"/>
        </w:rPr>
        <w:t xml:space="preserve"> </w:t>
      </w:r>
      <w:r w:rsidR="00795907" w:rsidRPr="00AA47AC">
        <w:rPr>
          <w:rFonts w:ascii="Times New Roman" w:hAnsi="Times New Roman" w:cs="Times New Roman"/>
          <w:sz w:val="24"/>
          <w:szCs w:val="24"/>
        </w:rPr>
        <w:t>estimates.</w:t>
      </w:r>
    </w:p>
    <w:p w14:paraId="243A8473" w14:textId="77777777" w:rsidR="00854A3E" w:rsidRPr="003F104E" w:rsidRDefault="00854A3E" w:rsidP="00AA47AC">
      <w:pPr>
        <w:pStyle w:val="BodyText"/>
        <w:tabs>
          <w:tab w:val="left" w:pos="540"/>
        </w:tabs>
        <w:ind w:left="270" w:hanging="270"/>
        <w:rPr>
          <w:rFonts w:ascii="Times New Roman" w:hAnsi="Times New Roman" w:cs="Times New Roman"/>
          <w:sz w:val="20"/>
          <w:szCs w:val="20"/>
        </w:rPr>
      </w:pPr>
    </w:p>
    <w:p w14:paraId="73F7E8A5" w14:textId="77777777" w:rsidR="00854A3E" w:rsidRPr="00AA47AC" w:rsidRDefault="00795907" w:rsidP="003708DA">
      <w:pPr>
        <w:pStyle w:val="Heading2"/>
        <w:numPr>
          <w:ilvl w:val="1"/>
          <w:numId w:val="3"/>
        </w:numPr>
        <w:tabs>
          <w:tab w:val="left" w:pos="540"/>
        </w:tabs>
        <w:ind w:left="270" w:hanging="270"/>
        <w:rPr>
          <w:rFonts w:ascii="Times New Roman" w:hAnsi="Times New Roman" w:cs="Times New Roman"/>
          <w:sz w:val="24"/>
          <w:szCs w:val="24"/>
        </w:rPr>
      </w:pPr>
      <w:r w:rsidRPr="00AA47AC">
        <w:rPr>
          <w:rFonts w:ascii="Times New Roman" w:hAnsi="Times New Roman" w:cs="Times New Roman"/>
          <w:sz w:val="24"/>
          <w:szCs w:val="24"/>
        </w:rPr>
        <w:t>Earning Per</w:t>
      </w:r>
      <w:r w:rsidRPr="00AA47AC">
        <w:rPr>
          <w:rFonts w:ascii="Times New Roman" w:hAnsi="Times New Roman" w:cs="Times New Roman"/>
          <w:spacing w:val="-2"/>
          <w:sz w:val="24"/>
          <w:szCs w:val="24"/>
        </w:rPr>
        <w:t xml:space="preserve"> </w:t>
      </w:r>
      <w:r w:rsidRPr="00AA47AC">
        <w:rPr>
          <w:rFonts w:ascii="Times New Roman" w:hAnsi="Times New Roman" w:cs="Times New Roman"/>
          <w:sz w:val="24"/>
          <w:szCs w:val="24"/>
        </w:rPr>
        <w:t>Share</w:t>
      </w:r>
    </w:p>
    <w:p w14:paraId="08A4FCFA" w14:textId="77777777" w:rsidR="00854A3E" w:rsidRPr="003F104E" w:rsidRDefault="00854A3E" w:rsidP="00AA47AC">
      <w:pPr>
        <w:pStyle w:val="BodyText"/>
        <w:tabs>
          <w:tab w:val="left" w:pos="540"/>
        </w:tabs>
        <w:spacing w:before="1"/>
        <w:ind w:left="270" w:hanging="270"/>
        <w:rPr>
          <w:rFonts w:ascii="Times New Roman" w:hAnsi="Times New Roman" w:cs="Times New Roman"/>
          <w:b/>
          <w:sz w:val="20"/>
          <w:szCs w:val="20"/>
        </w:rPr>
      </w:pPr>
    </w:p>
    <w:p w14:paraId="3C89C030" w14:textId="548ABCA2" w:rsidR="00854A3E" w:rsidRDefault="00AA47AC" w:rsidP="00AA47AC">
      <w:pPr>
        <w:pStyle w:val="BodyText"/>
        <w:tabs>
          <w:tab w:val="left" w:pos="540"/>
        </w:tabs>
        <w:ind w:left="270" w:right="119" w:hanging="270"/>
        <w:jc w:val="both"/>
        <w:rPr>
          <w:rFonts w:ascii="Times New Roman" w:hAnsi="Times New Roman" w:cs="Times New Roman"/>
          <w:sz w:val="24"/>
          <w:szCs w:val="24"/>
        </w:rPr>
      </w:pPr>
      <w:r>
        <w:rPr>
          <w:rFonts w:ascii="Times New Roman" w:hAnsi="Times New Roman" w:cs="Times New Roman"/>
          <w:sz w:val="24"/>
          <w:szCs w:val="24"/>
        </w:rPr>
        <w:tab/>
      </w:r>
      <w:r w:rsidR="00795907" w:rsidRPr="00AA47AC">
        <w:rPr>
          <w:rFonts w:ascii="Times New Roman" w:hAnsi="Times New Roman" w:cs="Times New Roman"/>
          <w:sz w:val="24"/>
          <w:szCs w:val="24"/>
        </w:rPr>
        <w:t xml:space="preserve">Basic Earning per Share shall be calculated by dividing the net profit or loss for the period attributable to equity shareholders by the weighted average number of equity shares outstanding during the period. Diluted Earning per Share will be computed by dividing the net profit after </w:t>
      </w:r>
      <w:r w:rsidR="00795907" w:rsidRPr="00AA47AC">
        <w:rPr>
          <w:rFonts w:ascii="Times New Roman" w:hAnsi="Times New Roman" w:cs="Times New Roman"/>
          <w:sz w:val="24"/>
          <w:szCs w:val="24"/>
        </w:rPr>
        <w:lastRenderedPageBreak/>
        <w:t>tax by the weighted average no. of equity shares considered for deriving basic Earning per Share and also the weighted average no. of equity shares that could have been issued upon conversion of all dilutive potential equity</w:t>
      </w:r>
      <w:r w:rsidR="00795907" w:rsidRPr="00AA47AC">
        <w:rPr>
          <w:rFonts w:ascii="Times New Roman" w:hAnsi="Times New Roman" w:cs="Times New Roman"/>
          <w:spacing w:val="-10"/>
          <w:sz w:val="24"/>
          <w:szCs w:val="24"/>
        </w:rPr>
        <w:t xml:space="preserve"> </w:t>
      </w:r>
      <w:r w:rsidR="00795907" w:rsidRPr="00AA47AC">
        <w:rPr>
          <w:rFonts w:ascii="Times New Roman" w:hAnsi="Times New Roman" w:cs="Times New Roman"/>
          <w:sz w:val="24"/>
          <w:szCs w:val="24"/>
        </w:rPr>
        <w:t>shares.</w:t>
      </w:r>
    </w:p>
    <w:p w14:paraId="1651CAE4" w14:textId="5AE152F6" w:rsidR="000362C5" w:rsidRDefault="000362C5" w:rsidP="00AA47AC">
      <w:pPr>
        <w:pStyle w:val="BodyText"/>
        <w:tabs>
          <w:tab w:val="left" w:pos="540"/>
        </w:tabs>
        <w:ind w:left="270" w:right="119" w:hanging="270"/>
        <w:jc w:val="both"/>
        <w:rPr>
          <w:rFonts w:ascii="Times New Roman" w:hAnsi="Times New Roman" w:cs="Times New Roman"/>
          <w:sz w:val="24"/>
          <w:szCs w:val="24"/>
        </w:rPr>
      </w:pPr>
    </w:p>
    <w:p w14:paraId="113881CF" w14:textId="77777777" w:rsidR="000362C5" w:rsidRDefault="000362C5" w:rsidP="00AA47AC">
      <w:pPr>
        <w:pStyle w:val="BodyText"/>
        <w:tabs>
          <w:tab w:val="left" w:pos="540"/>
        </w:tabs>
        <w:ind w:left="270" w:right="119" w:hanging="270"/>
        <w:jc w:val="both"/>
        <w:rPr>
          <w:rFonts w:ascii="Times New Roman" w:hAnsi="Times New Roman" w:cs="Times New Roman"/>
          <w:sz w:val="24"/>
          <w:szCs w:val="24"/>
        </w:rPr>
      </w:pPr>
    </w:p>
    <w:p w14:paraId="10D14D53" w14:textId="4875EB9A" w:rsidR="003708DA" w:rsidRPr="0035023E" w:rsidRDefault="003708DA" w:rsidP="0035023E">
      <w:pPr>
        <w:pStyle w:val="BodyText"/>
        <w:numPr>
          <w:ilvl w:val="0"/>
          <w:numId w:val="2"/>
        </w:numPr>
        <w:tabs>
          <w:tab w:val="left" w:pos="540"/>
        </w:tabs>
        <w:ind w:left="270" w:right="119"/>
        <w:jc w:val="both"/>
        <w:rPr>
          <w:rFonts w:ascii="Times New Roman" w:hAnsi="Times New Roman" w:cs="Times New Roman"/>
          <w:b/>
          <w:bCs/>
          <w:sz w:val="24"/>
          <w:szCs w:val="24"/>
        </w:rPr>
      </w:pPr>
      <w:r w:rsidRPr="0035023E">
        <w:rPr>
          <w:rFonts w:ascii="Times New Roman" w:hAnsi="Times New Roman" w:cs="Times New Roman"/>
          <w:b/>
          <w:bCs/>
          <w:sz w:val="24"/>
          <w:szCs w:val="24"/>
        </w:rPr>
        <w:t>CASH FLOW STATEMENT</w:t>
      </w:r>
    </w:p>
    <w:p w14:paraId="0B9EC237" w14:textId="77777777" w:rsidR="00854A3E" w:rsidRPr="003F104E" w:rsidRDefault="00854A3E" w:rsidP="00AA47AC">
      <w:pPr>
        <w:pStyle w:val="BodyText"/>
        <w:tabs>
          <w:tab w:val="left" w:pos="540"/>
        </w:tabs>
        <w:spacing w:before="11"/>
        <w:ind w:left="270" w:hanging="270"/>
        <w:rPr>
          <w:rFonts w:ascii="Times New Roman" w:hAnsi="Times New Roman" w:cs="Times New Roman"/>
          <w:sz w:val="20"/>
          <w:szCs w:val="20"/>
        </w:rPr>
      </w:pPr>
    </w:p>
    <w:p w14:paraId="131C0904" w14:textId="77777777" w:rsidR="00854A3E" w:rsidRPr="003F104E" w:rsidRDefault="00854A3E" w:rsidP="00AA47AC">
      <w:pPr>
        <w:pStyle w:val="BodyText"/>
        <w:tabs>
          <w:tab w:val="left" w:pos="540"/>
        </w:tabs>
        <w:spacing w:before="11"/>
        <w:ind w:left="270" w:hanging="270"/>
        <w:rPr>
          <w:rFonts w:ascii="Times New Roman" w:hAnsi="Times New Roman" w:cs="Times New Roman"/>
          <w:sz w:val="20"/>
          <w:szCs w:val="20"/>
        </w:rPr>
      </w:pPr>
    </w:p>
    <w:p w14:paraId="3592AA35" w14:textId="355B4DB4" w:rsidR="00854A3E" w:rsidRPr="00AA47AC" w:rsidRDefault="00795907" w:rsidP="0035023E">
      <w:pPr>
        <w:pStyle w:val="Heading2"/>
        <w:numPr>
          <w:ilvl w:val="1"/>
          <w:numId w:val="2"/>
        </w:numPr>
        <w:tabs>
          <w:tab w:val="left" w:pos="540"/>
        </w:tabs>
        <w:ind w:left="270"/>
        <w:rPr>
          <w:rFonts w:ascii="Times New Roman" w:hAnsi="Times New Roman" w:cs="Times New Roman"/>
          <w:sz w:val="24"/>
          <w:szCs w:val="24"/>
        </w:rPr>
      </w:pPr>
      <w:r w:rsidRPr="00AA47AC">
        <w:rPr>
          <w:rFonts w:ascii="Times New Roman" w:hAnsi="Times New Roman" w:cs="Times New Roman"/>
          <w:sz w:val="24"/>
          <w:szCs w:val="24"/>
        </w:rPr>
        <w:t>Cash and cash</w:t>
      </w:r>
      <w:r w:rsidRPr="00AA47AC">
        <w:rPr>
          <w:rFonts w:ascii="Times New Roman" w:hAnsi="Times New Roman" w:cs="Times New Roman"/>
          <w:spacing w:val="-4"/>
          <w:sz w:val="24"/>
          <w:szCs w:val="24"/>
        </w:rPr>
        <w:t xml:space="preserve"> </w:t>
      </w:r>
      <w:r w:rsidRPr="00AA47AC">
        <w:rPr>
          <w:rFonts w:ascii="Times New Roman" w:hAnsi="Times New Roman" w:cs="Times New Roman"/>
          <w:sz w:val="24"/>
          <w:szCs w:val="24"/>
        </w:rPr>
        <w:t>equivalents</w:t>
      </w:r>
      <w:r w:rsidR="003708DA">
        <w:rPr>
          <w:rFonts w:ascii="Times New Roman" w:hAnsi="Times New Roman" w:cs="Times New Roman"/>
          <w:sz w:val="24"/>
          <w:szCs w:val="24"/>
        </w:rPr>
        <w:t xml:space="preserve"> (for purpose of Cash Flow Statement)</w:t>
      </w:r>
    </w:p>
    <w:p w14:paraId="56987F3B" w14:textId="77777777" w:rsidR="00854A3E" w:rsidRPr="00AA47AC" w:rsidRDefault="00854A3E" w:rsidP="00AA47AC">
      <w:pPr>
        <w:pStyle w:val="BodyText"/>
        <w:tabs>
          <w:tab w:val="left" w:pos="540"/>
        </w:tabs>
        <w:spacing w:before="1"/>
        <w:ind w:left="270" w:hanging="270"/>
        <w:rPr>
          <w:rFonts w:ascii="Times New Roman" w:hAnsi="Times New Roman" w:cs="Times New Roman"/>
          <w:b/>
          <w:sz w:val="24"/>
          <w:szCs w:val="24"/>
        </w:rPr>
      </w:pPr>
    </w:p>
    <w:p w14:paraId="0CB9995C" w14:textId="64CE9A12" w:rsidR="003708DA" w:rsidRDefault="003708DA" w:rsidP="003708DA">
      <w:pPr>
        <w:pStyle w:val="BodyText"/>
        <w:tabs>
          <w:tab w:val="left" w:pos="540"/>
        </w:tabs>
        <w:ind w:left="270"/>
        <w:jc w:val="both"/>
        <w:rPr>
          <w:rFonts w:ascii="Times New Roman" w:hAnsi="Times New Roman" w:cs="Times New Roman"/>
          <w:sz w:val="24"/>
          <w:szCs w:val="24"/>
        </w:rPr>
      </w:pPr>
      <w:r w:rsidRPr="003708DA">
        <w:rPr>
          <w:rFonts w:ascii="Times New Roman" w:hAnsi="Times New Roman" w:cs="Times New Roman"/>
          <w:sz w:val="24"/>
          <w:szCs w:val="24"/>
        </w:rPr>
        <w:t>Cash</w:t>
      </w:r>
      <w:r>
        <w:rPr>
          <w:rFonts w:ascii="Times New Roman" w:hAnsi="Times New Roman" w:cs="Times New Roman"/>
          <w:sz w:val="24"/>
          <w:szCs w:val="24"/>
        </w:rPr>
        <w:t xml:space="preserve"> and cash equivalents</w:t>
      </w:r>
      <w:r w:rsidRPr="003708DA">
        <w:rPr>
          <w:rFonts w:ascii="Times New Roman" w:hAnsi="Times New Roman" w:cs="Times New Roman"/>
          <w:sz w:val="24"/>
          <w:szCs w:val="24"/>
        </w:rPr>
        <w:t xml:space="preserve"> comprises cash on hand</w:t>
      </w:r>
      <w:r>
        <w:rPr>
          <w:rFonts w:ascii="Times New Roman" w:hAnsi="Times New Roman" w:cs="Times New Roman"/>
          <w:sz w:val="24"/>
          <w:szCs w:val="24"/>
        </w:rPr>
        <w:t>, cash at bank</w:t>
      </w:r>
      <w:r w:rsidRPr="003708DA">
        <w:rPr>
          <w:rFonts w:ascii="Times New Roman" w:hAnsi="Times New Roman" w:cs="Times New Roman"/>
          <w:sz w:val="24"/>
          <w:szCs w:val="24"/>
        </w:rPr>
        <w:t xml:space="preserve"> and demand deposits with banks </w:t>
      </w:r>
      <w:r w:rsidRPr="00AA47AC">
        <w:rPr>
          <w:rFonts w:ascii="Times New Roman" w:hAnsi="Times New Roman" w:cs="Times New Roman"/>
          <w:sz w:val="24"/>
          <w:szCs w:val="24"/>
        </w:rPr>
        <w:t>with an original maturity of three months or less</w:t>
      </w:r>
      <w:r w:rsidRPr="003708DA">
        <w:rPr>
          <w:rFonts w:ascii="Times New Roman" w:hAnsi="Times New Roman" w:cs="Times New Roman"/>
          <w:sz w:val="24"/>
          <w:szCs w:val="24"/>
        </w:rPr>
        <w:t>. Cash equivalents</w:t>
      </w:r>
      <w:r>
        <w:rPr>
          <w:rFonts w:ascii="Times New Roman" w:hAnsi="Times New Roman" w:cs="Times New Roman"/>
          <w:sz w:val="24"/>
          <w:szCs w:val="24"/>
        </w:rPr>
        <w:t xml:space="preserve"> includes</w:t>
      </w:r>
      <w:r w:rsidRPr="003708DA">
        <w:rPr>
          <w:rFonts w:ascii="Times New Roman" w:hAnsi="Times New Roman" w:cs="Times New Roman"/>
          <w:sz w:val="24"/>
          <w:szCs w:val="24"/>
        </w:rPr>
        <w:t xml:space="preserve"> highly liquid investments that are readily convertible into</w:t>
      </w:r>
      <w:r>
        <w:rPr>
          <w:rFonts w:ascii="Times New Roman" w:hAnsi="Times New Roman" w:cs="Times New Roman"/>
          <w:sz w:val="24"/>
          <w:szCs w:val="24"/>
        </w:rPr>
        <w:t xml:space="preserve"> </w:t>
      </w:r>
      <w:r w:rsidRPr="003708DA">
        <w:rPr>
          <w:rFonts w:ascii="Times New Roman" w:hAnsi="Times New Roman" w:cs="Times New Roman"/>
          <w:sz w:val="24"/>
          <w:szCs w:val="24"/>
        </w:rPr>
        <w:t>known amounts of cash and which are subject to insignificant risk of changes in</w:t>
      </w:r>
      <w:r>
        <w:rPr>
          <w:rFonts w:ascii="Times New Roman" w:hAnsi="Times New Roman" w:cs="Times New Roman"/>
          <w:sz w:val="24"/>
          <w:szCs w:val="24"/>
        </w:rPr>
        <w:t xml:space="preserve"> </w:t>
      </w:r>
      <w:r w:rsidRPr="003708DA">
        <w:rPr>
          <w:rFonts w:ascii="Times New Roman" w:hAnsi="Times New Roman" w:cs="Times New Roman"/>
          <w:sz w:val="24"/>
          <w:szCs w:val="24"/>
        </w:rPr>
        <w:t xml:space="preserve">value. </w:t>
      </w:r>
    </w:p>
    <w:p w14:paraId="64F990CF" w14:textId="55354118" w:rsidR="003708DA" w:rsidRDefault="003708DA" w:rsidP="003708DA">
      <w:pPr>
        <w:pStyle w:val="BodyText"/>
        <w:tabs>
          <w:tab w:val="left" w:pos="540"/>
        </w:tabs>
        <w:ind w:left="270"/>
        <w:jc w:val="both"/>
        <w:rPr>
          <w:rFonts w:ascii="Times New Roman" w:hAnsi="Times New Roman" w:cs="Times New Roman"/>
          <w:sz w:val="24"/>
          <w:szCs w:val="24"/>
        </w:rPr>
      </w:pPr>
    </w:p>
    <w:p w14:paraId="770F2522" w14:textId="5EB0BEDF" w:rsidR="003708DA" w:rsidRPr="003708DA" w:rsidRDefault="0035023E" w:rsidP="0035023E">
      <w:pPr>
        <w:pStyle w:val="BodyText"/>
        <w:numPr>
          <w:ilvl w:val="1"/>
          <w:numId w:val="2"/>
        </w:numPr>
        <w:tabs>
          <w:tab w:val="left" w:pos="540"/>
        </w:tabs>
        <w:ind w:left="270"/>
        <w:jc w:val="both"/>
        <w:rPr>
          <w:rFonts w:ascii="Times New Roman" w:hAnsi="Times New Roman" w:cs="Times New Roman"/>
          <w:sz w:val="24"/>
          <w:szCs w:val="24"/>
        </w:rPr>
      </w:pPr>
      <w:r>
        <w:rPr>
          <w:rFonts w:ascii="Times New Roman" w:hAnsi="Times New Roman" w:cs="Times New Roman"/>
          <w:b/>
          <w:bCs/>
          <w:sz w:val="24"/>
          <w:szCs w:val="24"/>
        </w:rPr>
        <w:t>Reporting in the Financials</w:t>
      </w:r>
    </w:p>
    <w:p w14:paraId="290A5C0F" w14:textId="0D7A63E0" w:rsidR="003708DA" w:rsidRDefault="003708DA" w:rsidP="003708DA">
      <w:pPr>
        <w:pStyle w:val="BodyText"/>
        <w:tabs>
          <w:tab w:val="left" w:pos="540"/>
        </w:tabs>
        <w:ind w:left="720"/>
        <w:jc w:val="both"/>
        <w:rPr>
          <w:rFonts w:ascii="Times New Roman" w:hAnsi="Times New Roman" w:cs="Times New Roman"/>
          <w:b/>
          <w:bCs/>
          <w:sz w:val="24"/>
          <w:szCs w:val="24"/>
        </w:rPr>
      </w:pPr>
    </w:p>
    <w:p w14:paraId="2B56333C" w14:textId="7DCFAEC5" w:rsidR="003708DA" w:rsidRDefault="003708DA" w:rsidP="003708DA">
      <w:pPr>
        <w:pStyle w:val="BodyText"/>
        <w:tabs>
          <w:tab w:val="left" w:pos="540"/>
        </w:tabs>
        <w:ind w:left="270"/>
        <w:jc w:val="both"/>
        <w:rPr>
          <w:rFonts w:ascii="Times New Roman" w:hAnsi="Times New Roman" w:cs="Times New Roman"/>
          <w:sz w:val="24"/>
          <w:szCs w:val="24"/>
        </w:rPr>
      </w:pPr>
      <w:r w:rsidRPr="003708DA">
        <w:rPr>
          <w:rFonts w:ascii="Times New Roman" w:hAnsi="Times New Roman" w:cs="Times New Roman"/>
          <w:sz w:val="24"/>
          <w:szCs w:val="24"/>
        </w:rPr>
        <w:t>Cash Flows are reported using the indirect method, whereby profit / (loss) before extraordinary items and tax is adjusted for the effects of transactions of non-cash nature and any deferrals or accruals of past or future cash receipts or payments. The cash flows from operating, investing and financing activities of the Company are segregated based on available information.</w:t>
      </w:r>
    </w:p>
    <w:p w14:paraId="621ED786" w14:textId="77777777" w:rsidR="002B4248" w:rsidRDefault="002B4248" w:rsidP="003708DA">
      <w:pPr>
        <w:pStyle w:val="BodyText"/>
        <w:tabs>
          <w:tab w:val="left" w:pos="540"/>
        </w:tabs>
        <w:ind w:left="270"/>
        <w:jc w:val="both"/>
        <w:rPr>
          <w:rFonts w:ascii="Times New Roman" w:hAnsi="Times New Roman" w:cs="Times New Roman"/>
          <w:sz w:val="24"/>
          <w:szCs w:val="24"/>
        </w:rPr>
      </w:pPr>
    </w:p>
    <w:p w14:paraId="543F26E4" w14:textId="66CF0246" w:rsidR="002B4248" w:rsidRPr="00216091" w:rsidRDefault="002B4248" w:rsidP="003708DA">
      <w:pPr>
        <w:pStyle w:val="BodyText"/>
        <w:tabs>
          <w:tab w:val="left" w:pos="540"/>
        </w:tabs>
        <w:ind w:left="270"/>
        <w:jc w:val="both"/>
        <w:rPr>
          <w:rFonts w:ascii="Times New Roman" w:hAnsi="Times New Roman" w:cs="Times New Roman"/>
          <w:b/>
          <w:sz w:val="24"/>
          <w:szCs w:val="24"/>
        </w:rPr>
      </w:pPr>
      <w:r w:rsidRPr="00216091">
        <w:rPr>
          <w:rFonts w:ascii="Times New Roman" w:hAnsi="Times New Roman" w:cs="Times New Roman"/>
          <w:b/>
          <w:sz w:val="24"/>
          <w:szCs w:val="24"/>
        </w:rPr>
        <w:t>The Board Considered and Approved the Policy on 04.05.2024</w:t>
      </w:r>
      <w:r w:rsidR="00216091" w:rsidRPr="00216091">
        <w:rPr>
          <w:rFonts w:ascii="Times New Roman" w:hAnsi="Times New Roman" w:cs="Times New Roman"/>
          <w:b/>
          <w:sz w:val="24"/>
          <w:szCs w:val="24"/>
        </w:rPr>
        <w:t>.</w:t>
      </w:r>
      <w:r w:rsidRPr="00216091">
        <w:rPr>
          <w:rFonts w:ascii="Times New Roman" w:hAnsi="Times New Roman" w:cs="Times New Roman"/>
          <w:b/>
          <w:sz w:val="24"/>
          <w:szCs w:val="24"/>
        </w:rPr>
        <w:t xml:space="preserve"> </w:t>
      </w:r>
    </w:p>
    <w:p w14:paraId="2F45265C" w14:textId="0ADD6EF1" w:rsidR="003708DA" w:rsidRDefault="003708DA" w:rsidP="003708DA">
      <w:pPr>
        <w:pStyle w:val="BodyText"/>
        <w:tabs>
          <w:tab w:val="left" w:pos="540"/>
        </w:tabs>
        <w:ind w:left="270" w:hanging="270"/>
        <w:jc w:val="both"/>
        <w:rPr>
          <w:rFonts w:ascii="Times New Roman" w:hAnsi="Times New Roman" w:cs="Times New Roman"/>
          <w:sz w:val="24"/>
          <w:szCs w:val="24"/>
        </w:rPr>
      </w:pPr>
    </w:p>
    <w:p w14:paraId="6BF5CD05" w14:textId="77777777" w:rsidR="003708DA" w:rsidRDefault="003708DA" w:rsidP="003708DA">
      <w:pPr>
        <w:pStyle w:val="BodyText"/>
        <w:tabs>
          <w:tab w:val="left" w:pos="540"/>
        </w:tabs>
        <w:ind w:left="270" w:hanging="270"/>
        <w:jc w:val="both"/>
        <w:rPr>
          <w:rFonts w:ascii="Times New Roman" w:hAnsi="Times New Roman" w:cs="Times New Roman"/>
          <w:sz w:val="24"/>
          <w:szCs w:val="24"/>
        </w:rPr>
      </w:pPr>
    </w:p>
    <w:p w14:paraId="2DAD784E" w14:textId="24D6341F" w:rsidR="003F104E" w:rsidRDefault="003F104E" w:rsidP="00675B66">
      <w:pPr>
        <w:pStyle w:val="BodyText"/>
        <w:tabs>
          <w:tab w:val="left" w:pos="540"/>
        </w:tabs>
        <w:ind w:left="270" w:hanging="270"/>
        <w:jc w:val="both"/>
        <w:rPr>
          <w:rFonts w:ascii="Times New Roman" w:hAnsi="Times New Roman" w:cs="Times New Roman"/>
          <w:sz w:val="10"/>
          <w:szCs w:val="10"/>
        </w:rPr>
      </w:pPr>
    </w:p>
    <w:p w14:paraId="489A5B15" w14:textId="693B134F" w:rsidR="00930B3A" w:rsidRPr="00D66F38" w:rsidRDefault="00D66F38" w:rsidP="00D66F38">
      <w:pPr>
        <w:pStyle w:val="BodyText"/>
        <w:tabs>
          <w:tab w:val="left" w:pos="540"/>
        </w:tabs>
        <w:ind w:left="720"/>
        <w:jc w:val="both"/>
        <w:rPr>
          <w:rFonts w:ascii="Times New Roman" w:hAnsi="Times New Roman" w:cs="Times New Roman"/>
          <w:b/>
          <w:bCs/>
          <w:sz w:val="24"/>
          <w:szCs w:val="24"/>
        </w:rPr>
      </w:pPr>
      <w:r>
        <w:rPr>
          <w:rFonts w:ascii="Times New Roman" w:hAnsi="Times New Roman" w:cs="Times New Roman"/>
          <w:b/>
          <w:bCs/>
          <w:sz w:val="24"/>
          <w:szCs w:val="24"/>
        </w:rPr>
        <w:t>---------------</w:t>
      </w:r>
      <w:bookmarkStart w:id="0" w:name="_GoBack"/>
      <w:bookmarkEnd w:id="0"/>
      <w:r>
        <w:rPr>
          <w:rFonts w:ascii="Times New Roman" w:hAnsi="Times New Roman" w:cs="Times New Roman"/>
          <w:b/>
          <w:bCs/>
          <w:sz w:val="24"/>
          <w:szCs w:val="24"/>
        </w:rPr>
        <w:t>--------------------------End----------------------------------------------</w:t>
      </w:r>
    </w:p>
    <w:sectPr w:rsidR="00930B3A" w:rsidRPr="00D66F38" w:rsidSect="00354D95">
      <w:pgSz w:w="12240" w:h="15840"/>
      <w:pgMar w:top="720" w:right="1200" w:bottom="1240" w:left="1360" w:header="0" w:footer="289"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6E8C0" w14:textId="77777777" w:rsidR="00AE5CE4" w:rsidRDefault="00AE5CE4">
      <w:r>
        <w:separator/>
      </w:r>
    </w:p>
  </w:endnote>
  <w:endnote w:type="continuationSeparator" w:id="0">
    <w:p w14:paraId="72366E23" w14:textId="77777777" w:rsidR="00AE5CE4" w:rsidRDefault="00AE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989167"/>
      <w:docPartObj>
        <w:docPartGallery w:val="Page Numbers (Bottom of Page)"/>
        <w:docPartUnique/>
      </w:docPartObj>
    </w:sdtPr>
    <w:sdtEndPr>
      <w:rPr>
        <w:color w:val="7F7F7F" w:themeColor="background1" w:themeShade="7F"/>
        <w:spacing w:val="60"/>
      </w:rPr>
    </w:sdtEndPr>
    <w:sdtContent>
      <w:p w14:paraId="63AF1367" w14:textId="4C990F4D" w:rsidR="00724B4C" w:rsidRDefault="00724B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44BBD" w:rsidRPr="00A44BBD">
          <w:rPr>
            <w:b/>
            <w:bCs/>
            <w:noProof/>
          </w:rPr>
          <w:t>7</w:t>
        </w:r>
        <w:r>
          <w:rPr>
            <w:b/>
            <w:bCs/>
            <w:noProof/>
          </w:rPr>
          <w:fldChar w:fldCharType="end"/>
        </w:r>
        <w:r>
          <w:rPr>
            <w:b/>
            <w:bCs/>
          </w:rPr>
          <w:t xml:space="preserve"> | </w:t>
        </w:r>
        <w:r>
          <w:rPr>
            <w:color w:val="7F7F7F" w:themeColor="background1" w:themeShade="7F"/>
            <w:spacing w:val="60"/>
          </w:rPr>
          <w:t>Page</w:t>
        </w:r>
      </w:p>
    </w:sdtContent>
  </w:sdt>
  <w:p w14:paraId="78DA866C" w14:textId="77777777" w:rsidR="00724B4C" w:rsidRDefault="00724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227195"/>
      <w:docPartObj>
        <w:docPartGallery w:val="Page Numbers (Bottom of Page)"/>
        <w:docPartUnique/>
      </w:docPartObj>
    </w:sdtPr>
    <w:sdtEndPr>
      <w:rPr>
        <w:color w:val="7F7F7F" w:themeColor="background1" w:themeShade="7F"/>
        <w:spacing w:val="60"/>
      </w:rPr>
    </w:sdtEndPr>
    <w:sdtContent>
      <w:p w14:paraId="0A725067" w14:textId="65B9F5FA" w:rsidR="00724B4C" w:rsidRDefault="00724B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44BBD" w:rsidRPr="00A44BBD">
          <w:rPr>
            <w:b/>
            <w:bCs/>
            <w:noProof/>
          </w:rPr>
          <w:t>1</w:t>
        </w:r>
        <w:r>
          <w:rPr>
            <w:b/>
            <w:bCs/>
            <w:noProof/>
          </w:rPr>
          <w:fldChar w:fldCharType="end"/>
        </w:r>
        <w:r>
          <w:rPr>
            <w:b/>
            <w:bCs/>
          </w:rPr>
          <w:t xml:space="preserve"> | </w:t>
        </w:r>
        <w:r>
          <w:rPr>
            <w:color w:val="7F7F7F" w:themeColor="background1" w:themeShade="7F"/>
            <w:spacing w:val="60"/>
          </w:rPr>
          <w:t>Page</w:t>
        </w:r>
      </w:p>
    </w:sdtContent>
  </w:sdt>
  <w:p w14:paraId="4463BA69" w14:textId="7EDE9A61" w:rsidR="002B2EA9" w:rsidRDefault="002B2EA9" w:rsidP="00657F55">
    <w:pPr>
      <w:pStyle w:val="Footer"/>
      <w:tabs>
        <w:tab w:val="clear" w:pos="4680"/>
        <w:tab w:val="clear" w:pos="9360"/>
        <w:tab w:val="left" w:pos="7740"/>
        <w:tab w:val="right" w:pos="96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E91B1" w14:textId="77777777" w:rsidR="00AE5CE4" w:rsidRDefault="00AE5CE4">
      <w:r>
        <w:separator/>
      </w:r>
    </w:p>
  </w:footnote>
  <w:footnote w:type="continuationSeparator" w:id="0">
    <w:p w14:paraId="701D556C" w14:textId="77777777" w:rsidR="00AE5CE4" w:rsidRDefault="00AE5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BAF0" w14:textId="197A482C" w:rsidR="00AA47AC" w:rsidRDefault="00AA47AC">
    <w:pPr>
      <w:pStyle w:val="Header"/>
    </w:pPr>
  </w:p>
  <w:p w14:paraId="7D147F67" w14:textId="0050091D" w:rsidR="00AA47AC" w:rsidRDefault="00AA47AC">
    <w:pPr>
      <w:pStyle w:val="Header"/>
    </w:pPr>
  </w:p>
  <w:p w14:paraId="4343E14D" w14:textId="78B1A624" w:rsidR="00AA47AC" w:rsidRDefault="00AA47AC" w:rsidP="00AA47AC">
    <w:pPr>
      <w:pStyle w:val="Header"/>
      <w:ind w:left="-720"/>
    </w:pPr>
    <w:r w:rsidRPr="00AA47AC">
      <w:rPr>
        <w:rFonts w:ascii="Times New Roman" w:hAnsi="Times New Roman" w:cs="Times New Roman"/>
        <w:noProof/>
        <w:lang w:bidi="ar-SA"/>
      </w:rPr>
      <w:drawing>
        <wp:inline distT="0" distB="0" distL="0" distR="0" wp14:anchorId="5E8738B5" wp14:editId="04975A5D">
          <wp:extent cx="531338" cy="723900"/>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531338"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12077"/>
    <w:multiLevelType w:val="hybridMultilevel"/>
    <w:tmpl w:val="5A14252E"/>
    <w:lvl w:ilvl="0" w:tplc="0409000F">
      <w:start w:val="1"/>
      <w:numFmt w:val="decimal"/>
      <w:lvlText w:val="%1."/>
      <w:lvlJc w:val="left"/>
      <w:pPr>
        <w:ind w:left="720" w:hanging="360"/>
      </w:pPr>
      <w:rPr>
        <w:rFonts w:hint="default"/>
      </w:rPr>
    </w:lvl>
    <w:lvl w:ilvl="1" w:tplc="B5AE5E6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E29A1"/>
    <w:multiLevelType w:val="hybridMultilevel"/>
    <w:tmpl w:val="6AB2BD12"/>
    <w:lvl w:ilvl="0" w:tplc="F17A642C">
      <w:start w:val="1"/>
      <w:numFmt w:val="decimal"/>
      <w:lvlText w:val="%1."/>
      <w:lvlJc w:val="left"/>
      <w:pPr>
        <w:ind w:left="1890" w:hanging="360"/>
      </w:pPr>
      <w:rPr>
        <w:rFonts w:ascii="Calibri" w:eastAsia="Calibri" w:hAnsi="Calibri" w:cs="Calibri" w:hint="default"/>
        <w:b/>
        <w:bCs/>
        <w:w w:val="100"/>
        <w:sz w:val="22"/>
        <w:szCs w:val="22"/>
        <w:lang w:val="en-US" w:eastAsia="en-US" w:bidi="en-US"/>
      </w:rPr>
    </w:lvl>
    <w:lvl w:ilvl="1" w:tplc="4EB852E2">
      <w:start w:val="1"/>
      <w:numFmt w:val="lowerLetter"/>
      <w:lvlText w:val="%2."/>
      <w:lvlJc w:val="left"/>
      <w:pPr>
        <w:ind w:left="2250" w:hanging="360"/>
      </w:pPr>
      <w:rPr>
        <w:rFonts w:ascii="Calibri" w:eastAsia="Calibri" w:hAnsi="Calibri" w:cs="Calibri" w:hint="default"/>
        <w:b/>
        <w:bCs/>
        <w:spacing w:val="-1"/>
        <w:w w:val="100"/>
        <w:sz w:val="22"/>
        <w:szCs w:val="22"/>
        <w:lang w:val="en-US" w:eastAsia="en-US" w:bidi="en-US"/>
      </w:rPr>
    </w:lvl>
    <w:lvl w:ilvl="2" w:tplc="F7C28986">
      <w:numFmt w:val="bullet"/>
      <w:lvlText w:val="•"/>
      <w:lvlJc w:val="left"/>
      <w:pPr>
        <w:ind w:left="3223" w:hanging="360"/>
      </w:pPr>
      <w:rPr>
        <w:rFonts w:hint="default"/>
        <w:lang w:val="en-US" w:eastAsia="en-US" w:bidi="en-US"/>
      </w:rPr>
    </w:lvl>
    <w:lvl w:ilvl="3" w:tplc="659EFD60">
      <w:numFmt w:val="bullet"/>
      <w:lvlText w:val="•"/>
      <w:lvlJc w:val="left"/>
      <w:pPr>
        <w:ind w:left="4203" w:hanging="360"/>
      </w:pPr>
      <w:rPr>
        <w:rFonts w:hint="default"/>
        <w:lang w:val="en-US" w:eastAsia="en-US" w:bidi="en-US"/>
      </w:rPr>
    </w:lvl>
    <w:lvl w:ilvl="4" w:tplc="07B291B6">
      <w:numFmt w:val="bullet"/>
      <w:lvlText w:val="•"/>
      <w:lvlJc w:val="left"/>
      <w:pPr>
        <w:ind w:left="5183" w:hanging="360"/>
      </w:pPr>
      <w:rPr>
        <w:rFonts w:hint="default"/>
        <w:lang w:val="en-US" w:eastAsia="en-US" w:bidi="en-US"/>
      </w:rPr>
    </w:lvl>
    <w:lvl w:ilvl="5" w:tplc="960CD5A0">
      <w:numFmt w:val="bullet"/>
      <w:lvlText w:val="•"/>
      <w:lvlJc w:val="left"/>
      <w:pPr>
        <w:ind w:left="6163" w:hanging="360"/>
      </w:pPr>
      <w:rPr>
        <w:rFonts w:hint="default"/>
        <w:lang w:val="en-US" w:eastAsia="en-US" w:bidi="en-US"/>
      </w:rPr>
    </w:lvl>
    <w:lvl w:ilvl="6" w:tplc="01067B0A">
      <w:numFmt w:val="bullet"/>
      <w:lvlText w:val="•"/>
      <w:lvlJc w:val="left"/>
      <w:pPr>
        <w:ind w:left="7143" w:hanging="360"/>
      </w:pPr>
      <w:rPr>
        <w:rFonts w:hint="default"/>
        <w:lang w:val="en-US" w:eastAsia="en-US" w:bidi="en-US"/>
      </w:rPr>
    </w:lvl>
    <w:lvl w:ilvl="7" w:tplc="C13CD202">
      <w:numFmt w:val="bullet"/>
      <w:lvlText w:val="•"/>
      <w:lvlJc w:val="left"/>
      <w:pPr>
        <w:ind w:left="8123" w:hanging="360"/>
      </w:pPr>
      <w:rPr>
        <w:rFonts w:hint="default"/>
        <w:lang w:val="en-US" w:eastAsia="en-US" w:bidi="en-US"/>
      </w:rPr>
    </w:lvl>
    <w:lvl w:ilvl="8" w:tplc="20BA065E">
      <w:numFmt w:val="bullet"/>
      <w:lvlText w:val="•"/>
      <w:lvlJc w:val="left"/>
      <w:pPr>
        <w:ind w:left="9103" w:hanging="360"/>
      </w:pPr>
      <w:rPr>
        <w:rFonts w:hint="default"/>
        <w:lang w:val="en-US" w:eastAsia="en-US" w:bidi="en-US"/>
      </w:rPr>
    </w:lvl>
  </w:abstractNum>
  <w:abstractNum w:abstractNumId="2" w15:restartNumberingAfterBreak="0">
    <w:nsid w:val="412C01F4"/>
    <w:multiLevelType w:val="hybridMultilevel"/>
    <w:tmpl w:val="44EA1E5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2EF7D59"/>
    <w:multiLevelType w:val="hybridMultilevel"/>
    <w:tmpl w:val="14C421F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56D3BC6"/>
    <w:multiLevelType w:val="hybridMultilevel"/>
    <w:tmpl w:val="7B04D5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54A3E"/>
    <w:rsid w:val="000229C2"/>
    <w:rsid w:val="000362C5"/>
    <w:rsid w:val="00047F0D"/>
    <w:rsid w:val="000E6831"/>
    <w:rsid w:val="000E72B8"/>
    <w:rsid w:val="00165E8D"/>
    <w:rsid w:val="001818D5"/>
    <w:rsid w:val="001856FE"/>
    <w:rsid w:val="001C210A"/>
    <w:rsid w:val="00206D96"/>
    <w:rsid w:val="00216091"/>
    <w:rsid w:val="002235C4"/>
    <w:rsid w:val="002550DE"/>
    <w:rsid w:val="002562C9"/>
    <w:rsid w:val="0029529B"/>
    <w:rsid w:val="002961CC"/>
    <w:rsid w:val="002B2EA9"/>
    <w:rsid w:val="002B4248"/>
    <w:rsid w:val="0035023E"/>
    <w:rsid w:val="00354D95"/>
    <w:rsid w:val="003568FE"/>
    <w:rsid w:val="003708DA"/>
    <w:rsid w:val="00396A52"/>
    <w:rsid w:val="003A076B"/>
    <w:rsid w:val="003B55B7"/>
    <w:rsid w:val="003F104E"/>
    <w:rsid w:val="004135E0"/>
    <w:rsid w:val="004D2BB0"/>
    <w:rsid w:val="00500B35"/>
    <w:rsid w:val="00523785"/>
    <w:rsid w:val="00537869"/>
    <w:rsid w:val="00562022"/>
    <w:rsid w:val="00566FD6"/>
    <w:rsid w:val="00597957"/>
    <w:rsid w:val="005E0E8D"/>
    <w:rsid w:val="00637418"/>
    <w:rsid w:val="00657F55"/>
    <w:rsid w:val="00675B66"/>
    <w:rsid w:val="00682768"/>
    <w:rsid w:val="00695024"/>
    <w:rsid w:val="006D24D9"/>
    <w:rsid w:val="006E2CA9"/>
    <w:rsid w:val="00724B4C"/>
    <w:rsid w:val="00733257"/>
    <w:rsid w:val="0074765A"/>
    <w:rsid w:val="00764359"/>
    <w:rsid w:val="00773DB7"/>
    <w:rsid w:val="00795907"/>
    <w:rsid w:val="007A3DA9"/>
    <w:rsid w:val="008459A1"/>
    <w:rsid w:val="00854A3E"/>
    <w:rsid w:val="008D3919"/>
    <w:rsid w:val="008D3C65"/>
    <w:rsid w:val="00900EE8"/>
    <w:rsid w:val="009025FB"/>
    <w:rsid w:val="00930B3A"/>
    <w:rsid w:val="00967FD3"/>
    <w:rsid w:val="009932EB"/>
    <w:rsid w:val="009D0B9A"/>
    <w:rsid w:val="009D37A2"/>
    <w:rsid w:val="009F4FFD"/>
    <w:rsid w:val="009F64A6"/>
    <w:rsid w:val="00A061B5"/>
    <w:rsid w:val="00A2074D"/>
    <w:rsid w:val="00A41B50"/>
    <w:rsid w:val="00A44BBD"/>
    <w:rsid w:val="00A509C2"/>
    <w:rsid w:val="00AA47AC"/>
    <w:rsid w:val="00AD784F"/>
    <w:rsid w:val="00AE5CE4"/>
    <w:rsid w:val="00B13FBA"/>
    <w:rsid w:val="00B14D0C"/>
    <w:rsid w:val="00B44C4B"/>
    <w:rsid w:val="00B75C43"/>
    <w:rsid w:val="00BB03FA"/>
    <w:rsid w:val="00BB7242"/>
    <w:rsid w:val="00BE25B7"/>
    <w:rsid w:val="00CF0BBB"/>
    <w:rsid w:val="00CF512B"/>
    <w:rsid w:val="00D66F38"/>
    <w:rsid w:val="00D810A6"/>
    <w:rsid w:val="00D9432C"/>
    <w:rsid w:val="00E765CC"/>
    <w:rsid w:val="00F24E7C"/>
    <w:rsid w:val="00F354C0"/>
    <w:rsid w:val="00FD4524"/>
    <w:rsid w:val="00FD6303"/>
    <w:rsid w:val="00FE2B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3DE39"/>
  <w15:docId w15:val="{EFA61D46-D5F2-4487-8A77-8FFD5B8D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507"/>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867"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6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47AC"/>
    <w:pPr>
      <w:tabs>
        <w:tab w:val="center" w:pos="4680"/>
        <w:tab w:val="right" w:pos="9360"/>
      </w:tabs>
    </w:pPr>
  </w:style>
  <w:style w:type="character" w:customStyle="1" w:styleId="HeaderChar">
    <w:name w:val="Header Char"/>
    <w:basedOn w:val="DefaultParagraphFont"/>
    <w:link w:val="Header"/>
    <w:uiPriority w:val="99"/>
    <w:rsid w:val="00AA47AC"/>
    <w:rPr>
      <w:rFonts w:ascii="Calibri" w:eastAsia="Calibri" w:hAnsi="Calibri" w:cs="Calibri"/>
      <w:lang w:bidi="en-US"/>
    </w:rPr>
  </w:style>
  <w:style w:type="paragraph" w:styleId="Footer">
    <w:name w:val="footer"/>
    <w:basedOn w:val="Normal"/>
    <w:link w:val="FooterChar"/>
    <w:uiPriority w:val="99"/>
    <w:unhideWhenUsed/>
    <w:rsid w:val="00AA47AC"/>
    <w:pPr>
      <w:tabs>
        <w:tab w:val="center" w:pos="4680"/>
        <w:tab w:val="right" w:pos="9360"/>
      </w:tabs>
    </w:pPr>
  </w:style>
  <w:style w:type="character" w:customStyle="1" w:styleId="FooterChar">
    <w:name w:val="Footer Char"/>
    <w:basedOn w:val="DefaultParagraphFont"/>
    <w:link w:val="Footer"/>
    <w:uiPriority w:val="99"/>
    <w:rsid w:val="00AA47AC"/>
    <w:rPr>
      <w:rFonts w:ascii="Calibri" w:eastAsia="Calibri" w:hAnsi="Calibri" w:cs="Calibri"/>
      <w:lang w:bidi="en-US"/>
    </w:rPr>
  </w:style>
  <w:style w:type="paragraph" w:styleId="BalloonText">
    <w:name w:val="Balloon Text"/>
    <w:basedOn w:val="Normal"/>
    <w:link w:val="BalloonTextChar"/>
    <w:uiPriority w:val="99"/>
    <w:semiHidden/>
    <w:unhideWhenUsed/>
    <w:rsid w:val="003A0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76B"/>
    <w:rPr>
      <w:rFonts w:ascii="Segoe UI" w:eastAsia="Calibri" w:hAnsi="Segoe UI" w:cs="Segoe UI"/>
      <w:sz w:val="18"/>
      <w:szCs w:val="18"/>
      <w:lang w:bidi="en-US"/>
    </w:rPr>
  </w:style>
  <w:style w:type="table" w:styleId="TableGrid">
    <w:name w:val="Table Grid"/>
    <w:basedOn w:val="TableNormal"/>
    <w:uiPriority w:val="39"/>
    <w:rsid w:val="00F3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F354C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TableNormal"/>
    <w:uiPriority w:val="50"/>
    <w:rsid w:val="00B14D0C"/>
    <w:pPr>
      <w:widowControl/>
      <w:autoSpaceDE/>
      <w:autoSpaceDN/>
    </w:pPr>
    <w:rPr>
      <w:rFonts w:eastAsiaTheme="minorEastAsia"/>
      <w:lang w:val="en-IN" w:eastAsia="en-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89E9-1EF8-4DB9-9540-2004DB91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dc:creator>
  <cp:lastModifiedBy>IFL</cp:lastModifiedBy>
  <cp:revision>64</cp:revision>
  <cp:lastPrinted>2025-03-20T09:05:00Z</cp:lastPrinted>
  <dcterms:created xsi:type="dcterms:W3CDTF">2020-08-29T05:04:00Z</dcterms:created>
  <dcterms:modified xsi:type="dcterms:W3CDTF">2025-03-20T09:06:00Z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2018-06-30T00:00:00Z</vt:filetime>
  </property>
  <property fmtid="{D5CDD505-2E9C-101B-9397-08002B2CF9AE}" pid="3" name="Creator">
    <vt:lpwstr>Microsoft® Word 2016</vt:lpwstr>
  </property>
  <property fmtid="{D5CDD505-2E9C-101B-9397-08002B2CF9AE}" pid="4" name="LastSaved">
    <vt:filetime>2020-08-29T00:00:00Z</vt:filetime>
  </property>
</Properties>
</file>